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方正小标宋简体" w:hAnsi="方正小标宋简体" w:eastAsia="方正小标宋简体" w:cs="方正小标宋简体"/>
          <w:b w:val="0"/>
          <w:bCs/>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淄博市应急</w:t>
      </w:r>
      <w:r>
        <w:rPr>
          <w:rFonts w:hint="eastAsia" w:ascii="方正小标宋简体" w:hAnsi="方正小标宋简体" w:eastAsia="方正小标宋简体" w:cs="方正小标宋简体"/>
          <w:b w:val="0"/>
          <w:bCs/>
          <w:sz w:val="44"/>
          <w:szCs w:val="44"/>
          <w:lang w:val="en-US" w:eastAsia="zh-CN"/>
        </w:rPr>
        <w:t>管理</w:t>
      </w:r>
      <w:r>
        <w:rPr>
          <w:rFonts w:hint="eastAsia" w:ascii="方正小标宋简体" w:hAnsi="方正小标宋简体" w:eastAsia="方正小标宋简体" w:cs="方正小标宋简体"/>
          <w:b w:val="0"/>
          <w:bCs/>
          <w:sz w:val="44"/>
          <w:szCs w:val="44"/>
        </w:rPr>
        <w:t>局</w:t>
      </w:r>
    </w:p>
    <w:p>
      <w:pPr>
        <w:keepNext w:val="0"/>
        <w:keepLines w:val="0"/>
        <w:pageBreakBefore w:val="0"/>
        <w:widowControl w:val="0"/>
        <w:kinsoku/>
        <w:wordWrap/>
        <w:overflowPunct/>
        <w:topLinePunct w:val="0"/>
        <w:autoSpaceDE/>
        <w:autoSpaceDN/>
        <w:bidi w:val="0"/>
        <w:adjustRightInd/>
        <w:snapToGrid/>
        <w:spacing w:line="560" w:lineRule="exact"/>
        <w:ind w:firstLine="880" w:firstLineChars="200"/>
        <w:textAlignment w:val="auto"/>
        <w:outlineLvl w:val="9"/>
        <w:rPr>
          <w:rFonts w:hint="eastAsia" w:ascii="黑体" w:hAnsi="黑体" w:eastAsia="黑体" w:cs="黑体"/>
          <w:b w:val="0"/>
          <w:bCs/>
          <w:sz w:val="32"/>
          <w:szCs w:val="32"/>
        </w:rPr>
      </w:pPr>
      <w:r>
        <w:rPr>
          <w:rFonts w:hint="eastAsia" w:ascii="方正小标宋简体" w:hAnsi="方正小标宋简体" w:eastAsia="方正小标宋简体" w:cs="方正小标宋简体"/>
          <w:b w:val="0"/>
          <w:bCs/>
          <w:sz w:val="44"/>
          <w:szCs w:val="44"/>
        </w:rPr>
        <w:t>20</w:t>
      </w:r>
      <w:r>
        <w:rPr>
          <w:rFonts w:hint="eastAsia" w:ascii="方正小标宋简体" w:hAnsi="方正小标宋简体" w:eastAsia="方正小标宋简体" w:cs="方正小标宋简体"/>
          <w:b w:val="0"/>
          <w:bCs/>
          <w:sz w:val="44"/>
          <w:szCs w:val="44"/>
          <w:lang w:val="en-US" w:eastAsia="zh-CN"/>
        </w:rPr>
        <w:t>20</w:t>
      </w:r>
      <w:r>
        <w:rPr>
          <w:rFonts w:hint="eastAsia" w:ascii="方正小标宋简体" w:hAnsi="方正小标宋简体" w:eastAsia="方正小标宋简体" w:cs="方正小标宋简体"/>
          <w:b w:val="0"/>
          <w:bCs/>
          <w:sz w:val="44"/>
          <w:szCs w:val="44"/>
        </w:rPr>
        <w:t>年度政府信息公开工作年度报告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r>
        <w:rPr>
          <w:rFonts w:hint="eastAsia" w:ascii="仿宋_GB2312" w:eastAsia="仿宋_GB2312" w:hAnsiTheme="minorHAnsi" w:cstheme="minorBidi"/>
          <w:color w:val="auto"/>
          <w:kern w:val="0"/>
          <w:sz w:val="32"/>
          <w:szCs w:val="32"/>
          <w:lang w:val="en-US" w:eastAsia="zh-CN" w:bidi="ar"/>
        </w:rPr>
        <w:t>本报告按照《中华人民共和国政府信息公开条例》的要求编制，全文包括总体情况、主动公开政府信息情况、收到和处理政府信息公开申请情况、因政府信息公开工作被申请行政复议和提起行政诉讼情况、政府信息公开工作存在的主要问题及改进措施、其他需要报告的事项等六个部分。报告所列数据的统计期限为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年1月1日至20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年12月31日。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一、总体情况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eastAsia="仿宋_GB2312" w:hAnsiTheme="minorHAnsi" w:cstheme="minorBidi"/>
          <w:color w:val="auto"/>
          <w:kern w:val="0"/>
          <w:sz w:val="32"/>
          <w:szCs w:val="32"/>
          <w:lang w:val="en-US" w:eastAsia="zh-CN" w:bidi="ar"/>
        </w:rPr>
      </w:pPr>
      <w:r>
        <w:rPr>
          <w:rFonts w:hint="eastAsia" w:ascii="仿宋_GB2312" w:eastAsia="仿宋_GB2312" w:hAnsiTheme="minorHAnsi" w:cstheme="minorBidi"/>
          <w:color w:val="auto"/>
          <w:kern w:val="0"/>
          <w:sz w:val="32"/>
          <w:szCs w:val="32"/>
          <w:lang w:val="en-US" w:eastAsia="zh-CN" w:bidi="ar"/>
        </w:rPr>
        <w:t>2020年，淄博市应急管理局应继续丰富政府信息公开渠道，拓展公开内容，扎实做好政府信息公开工作。</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3" w:firstLineChars="200"/>
        <w:textAlignment w:val="auto"/>
        <w:outlineLvl w:val="9"/>
        <w:rPr>
          <w:rFonts w:hint="eastAsia" w:ascii="楷体_GB2312" w:hAnsi="楷体_GB2312" w:eastAsia="楷体_GB2312" w:cs="楷体_GB2312"/>
          <w:b/>
          <w:bCs/>
          <w:i w:val="0"/>
          <w:caps w:val="0"/>
          <w:color w:val="auto"/>
          <w:spacing w:val="0"/>
          <w:sz w:val="32"/>
          <w:szCs w:val="32"/>
          <w:shd w:val="clear" w:fill="FFFFFF"/>
          <w:lang w:val="en-US" w:eastAsia="zh-CN"/>
        </w:rPr>
      </w:pPr>
      <w:r>
        <w:rPr>
          <w:rFonts w:hint="eastAsia" w:ascii="楷体_GB2312" w:hAnsi="楷体_GB2312" w:eastAsia="楷体_GB2312" w:cs="楷体_GB2312"/>
          <w:b/>
          <w:bCs/>
          <w:color w:val="auto"/>
          <w:sz w:val="32"/>
          <w:szCs w:val="32"/>
          <w:lang w:val="en-US" w:eastAsia="zh-CN"/>
        </w:rPr>
        <w:t>（一）</w:t>
      </w:r>
      <w:r>
        <w:rPr>
          <w:rFonts w:hint="eastAsia" w:ascii="楷体_GB2312" w:hAnsi="楷体_GB2312" w:eastAsia="楷体_GB2312" w:cs="楷体_GB2312"/>
          <w:b/>
          <w:bCs/>
          <w:color w:val="auto"/>
          <w:kern w:val="0"/>
          <w:sz w:val="32"/>
          <w:szCs w:val="32"/>
          <w:lang w:val="en-US" w:eastAsia="zh-CN" w:bidi="ar"/>
        </w:rPr>
        <w:t>积极做好政府信息主动公开工作。</w:t>
      </w:r>
      <w:r>
        <w:rPr>
          <w:rFonts w:hint="eastAsia" w:ascii="仿宋_GB2312" w:eastAsia="仿宋_GB2312" w:hAnsiTheme="minorHAnsi" w:cstheme="minorBidi"/>
          <w:color w:val="auto"/>
          <w:kern w:val="0"/>
          <w:sz w:val="32"/>
          <w:szCs w:val="32"/>
          <w:lang w:val="en-US" w:eastAsia="zh-CN" w:bidi="ar"/>
        </w:rPr>
        <w:t>结合工作实际，制定年度政务公开工作重点责任分工方案；发布应急管理</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主动公开基本目录，内容主要涉及安全生产、防灾减灾救灾、应急救援三方面工作</w:t>
      </w:r>
      <w:r>
        <w:rPr>
          <w:rFonts w:hint="eastAsia" w:ascii="仿宋_GB2312" w:eastAsia="仿宋_GB2312" w:cstheme="minorBidi"/>
          <w:color w:val="auto"/>
          <w:kern w:val="0"/>
          <w:sz w:val="32"/>
          <w:szCs w:val="32"/>
          <w:lang w:val="en-US" w:eastAsia="zh-CN" w:bidi="ar"/>
        </w:rPr>
        <w:t>。</w:t>
      </w:r>
      <w:r>
        <w:rPr>
          <w:rFonts w:hint="eastAsia" w:ascii="仿宋_GB2312" w:eastAsia="仿宋_GB2312" w:hAnsiTheme="minorHAnsi" w:cstheme="minorBidi"/>
          <w:color w:val="auto"/>
          <w:kern w:val="0"/>
          <w:sz w:val="32"/>
          <w:szCs w:val="32"/>
          <w:lang w:val="en-US" w:eastAsia="zh-CN" w:bidi="ar"/>
        </w:rPr>
        <w:t>在政府门户网站等平台主动公开重大灾害及事故应急预案、预警、救援信息，重大灾害及事故应对信息，安全生产监督检查情况，事故通报查处情况等</w:t>
      </w:r>
      <w:r>
        <w:rPr>
          <w:rFonts w:hint="eastAsia" w:ascii="仿宋_GB2312" w:eastAsia="仿宋_GB2312" w:cstheme="minorBidi"/>
          <w:color w:val="auto"/>
          <w:kern w:val="0"/>
          <w:sz w:val="32"/>
          <w:szCs w:val="32"/>
          <w:lang w:val="en-US" w:eastAsia="zh-CN" w:bidi="ar"/>
        </w:rPr>
        <w:t>。</w:t>
      </w:r>
      <w:r>
        <w:rPr>
          <w:rFonts w:hint="eastAsia" w:ascii="仿宋_GB2312" w:eastAsia="仿宋_GB2312" w:hAnsiTheme="minorHAnsi" w:cstheme="minorBidi"/>
          <w:color w:val="auto"/>
          <w:kern w:val="0"/>
          <w:sz w:val="32"/>
          <w:szCs w:val="32"/>
          <w:lang w:val="en-US" w:eastAsia="zh-CN" w:bidi="ar"/>
        </w:rPr>
        <w:t>一是拓宽公开渠道。以</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门户网站、</w:t>
      </w:r>
      <w:r>
        <w:rPr>
          <w:rFonts w:hint="eastAsia" w:ascii="仿宋_GB2312" w:eastAsia="仿宋_GB2312" w:cstheme="minorBidi"/>
          <w:color w:val="auto"/>
          <w:kern w:val="0"/>
          <w:sz w:val="32"/>
          <w:szCs w:val="32"/>
          <w:lang w:val="en-US" w:eastAsia="zh-CN" w:bidi="ar"/>
        </w:rPr>
        <w:t>市</w:t>
      </w:r>
      <w:r>
        <w:rPr>
          <w:rFonts w:hint="eastAsia" w:ascii="仿宋_GB2312" w:eastAsia="仿宋_GB2312" w:hAnsiTheme="minorHAnsi" w:cstheme="minorBidi"/>
          <w:color w:val="auto"/>
          <w:kern w:val="0"/>
          <w:sz w:val="32"/>
          <w:szCs w:val="32"/>
          <w:lang w:val="en-US" w:eastAsia="zh-CN" w:bidi="ar"/>
        </w:rPr>
        <w:t>政府网信息公开专栏、政务微信和微博为主要平台，全面发布我</w:t>
      </w:r>
      <w:r>
        <w:rPr>
          <w:rFonts w:hint="eastAsia" w:ascii="仿宋_GB2312" w:eastAsia="仿宋_GB2312" w:cstheme="minorBidi"/>
          <w:color w:val="auto"/>
          <w:kern w:val="0"/>
          <w:sz w:val="32"/>
          <w:szCs w:val="32"/>
          <w:lang w:val="en-US" w:eastAsia="zh-CN" w:bidi="ar"/>
        </w:rPr>
        <w:t>市</w:t>
      </w:r>
      <w:r>
        <w:rPr>
          <w:rFonts w:hint="eastAsia" w:ascii="仿宋_GB2312" w:eastAsia="仿宋_GB2312" w:hAnsiTheme="minorHAnsi" w:cstheme="minorBidi"/>
          <w:color w:val="auto"/>
          <w:kern w:val="0"/>
          <w:sz w:val="32"/>
          <w:szCs w:val="32"/>
          <w:lang w:val="en-US" w:eastAsia="zh-CN" w:bidi="ar"/>
        </w:rPr>
        <w:t>应急管理和安全生产相关信息。20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在</w:t>
      </w:r>
      <w:r>
        <w:rPr>
          <w:rFonts w:hint="eastAsia" w:ascii="仿宋_GB2312" w:eastAsia="仿宋_GB2312" w:hAnsiTheme="minorHAnsi" w:cstheme="minorBidi"/>
          <w:color w:val="auto"/>
          <w:kern w:val="0"/>
          <w:sz w:val="32"/>
          <w:szCs w:val="32"/>
          <w:lang w:val="en-US" w:eastAsia="zh-CN" w:bidi="ar"/>
        </w:rPr>
        <w:drawing>
          <wp:anchor distT="0" distB="0" distL="114300" distR="114300" simplePos="0" relativeHeight="251659264" behindDoc="0" locked="0" layoutInCell="1" allowOverlap="1">
            <wp:simplePos x="0" y="0"/>
            <wp:positionH relativeFrom="column">
              <wp:posOffset>-79375</wp:posOffset>
            </wp:positionH>
            <wp:positionV relativeFrom="paragraph">
              <wp:posOffset>5365115</wp:posOffset>
            </wp:positionV>
            <wp:extent cx="3416300" cy="2313940"/>
            <wp:effectExtent l="0" t="0" r="12700" b="10160"/>
            <wp:wrapSquare wrapText="bothSides"/>
            <wp:docPr id="2" name="图片 2" descr="政策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政策解读"/>
                    <pic:cNvPicPr>
                      <a:picLocks noChangeAspect="1"/>
                    </pic:cNvPicPr>
                  </pic:nvPicPr>
                  <pic:blipFill>
                    <a:blip r:embed="rId4"/>
                    <a:stretch>
                      <a:fillRect/>
                    </a:stretch>
                  </pic:blipFill>
                  <pic:spPr>
                    <a:xfrm>
                      <a:off x="0" y="0"/>
                      <a:ext cx="3416300" cy="2313940"/>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drawing>
          <wp:anchor distT="0" distB="0" distL="114935" distR="114935" simplePos="0" relativeHeight="251658240" behindDoc="0" locked="0" layoutInCell="1" allowOverlap="1">
            <wp:simplePos x="0" y="0"/>
            <wp:positionH relativeFrom="column">
              <wp:posOffset>2054225</wp:posOffset>
            </wp:positionH>
            <wp:positionV relativeFrom="paragraph">
              <wp:posOffset>1617980</wp:posOffset>
            </wp:positionV>
            <wp:extent cx="3619500" cy="2473325"/>
            <wp:effectExtent l="0" t="0" r="0" b="3175"/>
            <wp:wrapSquare wrapText="bothSides"/>
            <wp:docPr id="1" name="图片 1" descr="一图读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图读懂"/>
                    <pic:cNvPicPr>
                      <a:picLocks noChangeAspect="1"/>
                    </pic:cNvPicPr>
                  </pic:nvPicPr>
                  <pic:blipFill>
                    <a:blip r:embed="rId5"/>
                    <a:stretch>
                      <a:fillRect/>
                    </a:stretch>
                  </pic:blipFill>
                  <pic:spPr>
                    <a:xfrm>
                      <a:off x="0" y="0"/>
                      <a:ext cx="3619500" cy="2473325"/>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t>网站主动公开信息</w:t>
      </w:r>
      <w:r>
        <w:rPr>
          <w:rFonts w:hint="eastAsia" w:ascii="仿宋_GB2312" w:eastAsia="仿宋_GB2312" w:cstheme="minorBidi"/>
          <w:color w:val="auto"/>
          <w:kern w:val="0"/>
          <w:sz w:val="32"/>
          <w:szCs w:val="32"/>
          <w:lang w:val="en-US" w:eastAsia="zh-CN" w:bidi="ar"/>
        </w:rPr>
        <w:t>1630</w:t>
      </w:r>
      <w:r>
        <w:rPr>
          <w:rFonts w:hint="eastAsia" w:ascii="仿宋_GB2312" w:eastAsia="仿宋_GB2312" w:hAnsiTheme="minorHAnsi" w:cstheme="minorBidi"/>
          <w:color w:val="auto"/>
          <w:kern w:val="0"/>
          <w:sz w:val="32"/>
          <w:szCs w:val="32"/>
          <w:lang w:val="en-US" w:eastAsia="zh-CN" w:bidi="ar"/>
        </w:rPr>
        <w:t>条，政务微信</w:t>
      </w:r>
      <w:r>
        <w:rPr>
          <w:rFonts w:hint="eastAsia" w:ascii="仿宋_GB2312" w:eastAsia="仿宋_GB2312" w:cstheme="minorBidi"/>
          <w:color w:val="auto"/>
          <w:kern w:val="0"/>
          <w:sz w:val="32"/>
          <w:szCs w:val="32"/>
          <w:lang w:val="en-US" w:eastAsia="zh-CN" w:bidi="ar"/>
        </w:rPr>
        <w:t>420</w:t>
      </w:r>
      <w:r>
        <w:rPr>
          <w:rFonts w:hint="eastAsia" w:ascii="仿宋_GB2312" w:eastAsia="仿宋_GB2312" w:hAnsiTheme="minorHAnsi" w:cstheme="minorBidi"/>
          <w:color w:val="auto"/>
          <w:kern w:val="0"/>
          <w:sz w:val="32"/>
          <w:szCs w:val="32"/>
          <w:lang w:val="en-US" w:eastAsia="zh-CN" w:bidi="ar"/>
        </w:rPr>
        <w:t>条，政务微博</w:t>
      </w:r>
      <w:r>
        <w:rPr>
          <w:rFonts w:hint="eastAsia" w:ascii="仿宋_GB2312" w:eastAsia="仿宋_GB2312" w:cstheme="minorBidi"/>
          <w:color w:val="auto"/>
          <w:kern w:val="0"/>
          <w:sz w:val="32"/>
          <w:szCs w:val="32"/>
          <w:lang w:val="en-US" w:eastAsia="zh-CN" w:bidi="ar"/>
        </w:rPr>
        <w:t>420</w:t>
      </w:r>
      <w:r>
        <w:rPr>
          <w:rFonts w:hint="eastAsia" w:ascii="仿宋_GB2312" w:eastAsia="仿宋_GB2312" w:hAnsiTheme="minorHAnsi" w:cstheme="minorBidi"/>
          <w:color w:val="auto"/>
          <w:kern w:val="0"/>
          <w:sz w:val="32"/>
          <w:szCs w:val="32"/>
          <w:lang w:val="en-US" w:eastAsia="zh-CN" w:bidi="ar"/>
        </w:rPr>
        <w:t>条，对全部</w:t>
      </w:r>
      <w:r>
        <w:rPr>
          <w:rFonts w:hint="eastAsia" w:ascii="仿宋_GB2312" w:eastAsia="仿宋_GB2312" w:cstheme="minorBidi"/>
          <w:color w:val="auto"/>
          <w:kern w:val="0"/>
          <w:sz w:val="32"/>
          <w:szCs w:val="32"/>
          <w:lang w:val="en-US" w:eastAsia="zh-CN" w:bidi="ar"/>
        </w:rPr>
        <w:t>3</w:t>
      </w:r>
      <w:r>
        <w:rPr>
          <w:rFonts w:hint="eastAsia" w:ascii="仿宋_GB2312" w:eastAsia="仿宋_GB2312" w:hAnsiTheme="minorHAnsi" w:cstheme="minorBidi"/>
          <w:color w:val="auto"/>
          <w:kern w:val="0"/>
          <w:sz w:val="32"/>
          <w:szCs w:val="32"/>
          <w:lang w:val="en-US" w:eastAsia="zh-CN" w:bidi="ar"/>
        </w:rPr>
        <w:t>次</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长办公会的主要议题和议定事项全部通过门户网站向社会公开。</w:t>
      </w:r>
      <w:r>
        <w:rPr>
          <w:rFonts w:hint="eastAsia" w:ascii="仿宋_GB2312" w:hAnsi="仿宋_GB2312" w:eastAsia="仿宋_GB2312" w:cs="仿宋_GB2312"/>
          <w:color w:val="auto"/>
          <w:sz w:val="32"/>
          <w:szCs w:val="32"/>
        </w:rPr>
        <w:t>20</w:t>
      </w:r>
      <w:r>
        <w:rPr>
          <w:rFonts w:hint="eastAsia" w:ascii="仿宋_GB2312" w:hAnsi="仿宋_GB2312" w:eastAsia="仿宋_GB2312" w:cs="仿宋_GB2312"/>
          <w:color w:val="auto"/>
          <w:sz w:val="32"/>
          <w:szCs w:val="32"/>
          <w:lang w:val="en-US" w:eastAsia="zh-CN"/>
        </w:rPr>
        <w:t>20</w:t>
      </w:r>
      <w:r>
        <w:rPr>
          <w:rFonts w:hint="eastAsia" w:ascii="仿宋_GB2312" w:hAnsi="仿宋_GB2312" w:eastAsia="仿宋_GB2312" w:cs="仿宋_GB2312"/>
          <w:color w:val="auto"/>
          <w:sz w:val="32"/>
          <w:szCs w:val="32"/>
        </w:rPr>
        <w:t>年，我局承办人大代表建议</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件、政协委员提案</w:t>
      </w:r>
      <w:r>
        <w:rPr>
          <w:rFonts w:hint="eastAsia" w:ascii="仿宋_GB2312" w:hAnsi="仿宋_GB2312" w:eastAsia="仿宋_GB2312" w:cs="仿宋_GB2312"/>
          <w:color w:val="auto"/>
          <w:sz w:val="32"/>
          <w:szCs w:val="32"/>
          <w:lang w:val="en-US" w:eastAsia="zh-CN"/>
        </w:rPr>
        <w:t>4</w:t>
      </w:r>
      <w:r>
        <w:rPr>
          <w:rFonts w:hint="eastAsia" w:ascii="仿宋_GB2312" w:hAnsi="仿宋_GB2312" w:eastAsia="仿宋_GB2312" w:cs="仿宋_GB2312"/>
          <w:color w:val="auto"/>
          <w:sz w:val="32"/>
          <w:szCs w:val="32"/>
        </w:rPr>
        <w:t>件，所有建议、提案已按时办理完毕。</w:t>
      </w:r>
      <w:r>
        <w:rPr>
          <w:rFonts w:hint="eastAsia" w:ascii="仿宋_GB2312" w:eastAsia="仿宋_GB2312" w:hAnsiTheme="minorHAnsi" w:cstheme="minorBidi"/>
          <w:color w:val="auto"/>
          <w:kern w:val="0"/>
          <w:sz w:val="32"/>
          <w:szCs w:val="32"/>
          <w:lang w:val="en-US" w:eastAsia="zh-CN" w:bidi="ar"/>
        </w:rPr>
        <w:t>二是加大政策解读。20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将需要进行解读的政策文件范围，从规范性文件扩大至所有政策文件，要求各起草处室在文件发布后3日内发布解读材料，并将政策文件和解读材料相互关联，方便公众查阅；对同一政策注重运用媒体宣传、一图读懂等多种形式解读，</w:t>
      </w:r>
      <w:r>
        <w:rPr>
          <w:rFonts w:hint="eastAsia" w:ascii="仿宋_GB2312" w:eastAsia="仿宋_GB2312"/>
          <w:color w:val="auto"/>
          <w:sz w:val="32"/>
          <w:szCs w:val="32"/>
        </w:rPr>
        <w:drawing>
          <wp:anchor distT="0" distB="0" distL="114300" distR="114300" simplePos="0" relativeHeight="251660288" behindDoc="0" locked="0" layoutInCell="1" allowOverlap="1">
            <wp:simplePos x="0" y="0"/>
            <wp:positionH relativeFrom="column">
              <wp:posOffset>-45720</wp:posOffset>
            </wp:positionH>
            <wp:positionV relativeFrom="paragraph">
              <wp:posOffset>21590</wp:posOffset>
            </wp:positionV>
            <wp:extent cx="3383280" cy="3205480"/>
            <wp:effectExtent l="0" t="0" r="7620" b="13970"/>
            <wp:wrapSquare wrapText="bothSides"/>
            <wp:docPr id="3" name="图片 3" descr="新闻发布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新闻发布会"/>
                    <pic:cNvPicPr>
                      <a:picLocks noChangeAspect="1"/>
                    </pic:cNvPicPr>
                  </pic:nvPicPr>
                  <pic:blipFill>
                    <a:blip r:embed="rId6"/>
                    <a:stretch>
                      <a:fillRect/>
                    </a:stretch>
                  </pic:blipFill>
                  <pic:spPr>
                    <a:xfrm>
                      <a:off x="0" y="0"/>
                      <a:ext cx="3383280" cy="3205480"/>
                    </a:xfrm>
                    <a:prstGeom prst="rect">
                      <a:avLst/>
                    </a:prstGeom>
                  </pic:spPr>
                </pic:pic>
              </a:graphicData>
            </a:graphic>
          </wp:anchor>
        </w:drawing>
      </w:r>
      <w:r>
        <w:rPr>
          <w:rFonts w:hint="eastAsia" w:ascii="仿宋_GB2312" w:eastAsia="仿宋_GB2312" w:hAnsiTheme="minorHAnsi" w:cstheme="minorBidi"/>
          <w:color w:val="auto"/>
          <w:kern w:val="0"/>
          <w:sz w:val="32"/>
          <w:szCs w:val="32"/>
          <w:lang w:val="en-US" w:eastAsia="zh-CN" w:bidi="ar"/>
        </w:rPr>
        <w:t>便于公众理解。对本机关制发的</w:t>
      </w:r>
      <w:r>
        <w:rPr>
          <w:rFonts w:hint="eastAsia" w:ascii="仿宋_GB2312" w:eastAsia="仿宋_GB2312" w:cstheme="minorBidi"/>
          <w:color w:val="auto"/>
          <w:kern w:val="0"/>
          <w:sz w:val="32"/>
          <w:szCs w:val="32"/>
          <w:lang w:val="en-US" w:eastAsia="zh-CN" w:bidi="ar"/>
        </w:rPr>
        <w:t>13</w:t>
      </w:r>
      <w:r>
        <w:rPr>
          <w:rFonts w:hint="eastAsia" w:ascii="仿宋_GB2312" w:eastAsia="仿宋_GB2312" w:hAnsiTheme="minorHAnsi" w:cstheme="minorBidi"/>
          <w:color w:val="auto"/>
          <w:kern w:val="0"/>
          <w:sz w:val="32"/>
          <w:szCs w:val="32"/>
          <w:lang w:val="en-US" w:eastAsia="zh-CN" w:bidi="ar"/>
        </w:rPr>
        <w:t>件公开属性为主动公开的文件进行了政策解读。解读时间与发文时间控制在3天内；三是加强公众互动。20</w:t>
      </w:r>
      <w:r>
        <w:rPr>
          <w:rFonts w:hint="eastAsia" w:ascii="仿宋_GB2312" w:eastAsia="仿宋_GB2312" w:cstheme="minorBidi"/>
          <w:color w:val="auto"/>
          <w:kern w:val="0"/>
          <w:sz w:val="32"/>
          <w:szCs w:val="32"/>
          <w:lang w:val="en-US" w:eastAsia="zh-CN" w:bidi="ar"/>
        </w:rPr>
        <w:t>20</w:t>
      </w:r>
      <w:r>
        <w:rPr>
          <w:rFonts w:hint="eastAsia" w:ascii="仿宋_GB2312" w:eastAsia="仿宋_GB2312" w:hAnsiTheme="minorHAnsi" w:cstheme="minorBidi"/>
          <w:color w:val="auto"/>
          <w:kern w:val="0"/>
          <w:sz w:val="32"/>
          <w:szCs w:val="32"/>
          <w:lang w:val="en-US" w:eastAsia="zh-CN" w:bidi="ar"/>
        </w:rPr>
        <w:t>年，我</w:t>
      </w:r>
      <w:r>
        <w:rPr>
          <w:rFonts w:hint="eastAsia" w:ascii="仿宋_GB2312" w:eastAsia="仿宋_GB2312" w:cstheme="minorBidi"/>
          <w:color w:val="auto"/>
          <w:kern w:val="0"/>
          <w:sz w:val="32"/>
          <w:szCs w:val="32"/>
          <w:lang w:val="en-US" w:eastAsia="zh-CN" w:bidi="ar"/>
        </w:rPr>
        <w:t>局</w:t>
      </w:r>
      <w:r>
        <w:rPr>
          <w:rFonts w:hint="eastAsia" w:ascii="仿宋_GB2312" w:eastAsia="仿宋_GB2312" w:hAnsiTheme="minorHAnsi" w:cstheme="minorBidi"/>
          <w:color w:val="auto"/>
          <w:kern w:val="0"/>
          <w:sz w:val="32"/>
          <w:szCs w:val="32"/>
          <w:lang w:val="en-US" w:eastAsia="zh-CN" w:bidi="ar"/>
        </w:rPr>
        <w:t>共举行新闻发布会</w:t>
      </w:r>
      <w:r>
        <w:rPr>
          <w:rFonts w:hint="eastAsia" w:ascii="仿宋_GB2312" w:eastAsia="仿宋_GB2312" w:cstheme="minorBidi"/>
          <w:color w:val="auto"/>
          <w:kern w:val="0"/>
          <w:sz w:val="32"/>
          <w:szCs w:val="32"/>
          <w:lang w:val="en-US" w:eastAsia="zh-CN" w:bidi="ar"/>
        </w:rPr>
        <w:t>2</w:t>
      </w:r>
      <w:r>
        <w:rPr>
          <w:rFonts w:hint="eastAsia" w:ascii="仿宋_GB2312" w:eastAsia="仿宋_GB2312" w:hAnsiTheme="minorHAnsi" w:cstheme="minorBidi"/>
          <w:color w:val="auto"/>
          <w:kern w:val="0"/>
          <w:sz w:val="32"/>
          <w:szCs w:val="32"/>
          <w:lang w:val="en-US" w:eastAsia="zh-CN" w:bidi="ar"/>
        </w:rPr>
        <w:t>次。</w:t>
      </w:r>
      <w:r>
        <w:rPr>
          <w:rFonts w:hint="eastAsia" w:ascii="仿宋_GB2312" w:eastAsia="仿宋_GB2312"/>
          <w:color w:val="auto"/>
          <w:sz w:val="32"/>
          <w:szCs w:val="32"/>
        </w:rPr>
        <w:t>通过</w:t>
      </w:r>
      <w:r>
        <w:rPr>
          <w:rFonts w:hint="eastAsia" w:ascii="仿宋_GB2312" w:eastAsia="仿宋_GB2312"/>
          <w:color w:val="auto"/>
          <w:sz w:val="32"/>
          <w:szCs w:val="32"/>
          <w:lang w:val="en-US" w:eastAsia="zh-CN"/>
        </w:rPr>
        <w:t>网站“政民互动”板块</w:t>
      </w:r>
      <w:r>
        <w:rPr>
          <w:rFonts w:hint="eastAsia" w:ascii="仿宋_GB2312" w:eastAsia="仿宋_GB2312"/>
          <w:color w:val="auto"/>
          <w:sz w:val="32"/>
          <w:szCs w:val="32"/>
        </w:rPr>
        <w:t>主动接受</w:t>
      </w:r>
      <w:r>
        <w:rPr>
          <w:rFonts w:hint="eastAsia" w:ascii="仿宋_GB2312" w:eastAsia="仿宋_GB2312"/>
          <w:color w:val="auto"/>
          <w:sz w:val="32"/>
          <w:szCs w:val="32"/>
          <w:lang w:val="en-US" w:eastAsia="zh-CN"/>
        </w:rPr>
        <w:t>群</w:t>
      </w:r>
      <w:r>
        <w:rPr>
          <w:rFonts w:hint="eastAsia" w:ascii="仿宋_GB2312" w:eastAsia="仿宋_GB2312"/>
          <w:color w:val="auto"/>
          <w:sz w:val="32"/>
          <w:szCs w:val="32"/>
        </w:rPr>
        <w:t>众建议和情况反映，加</w:t>
      </w:r>
      <w:r>
        <w:rPr>
          <w:rFonts w:hint="eastAsia" w:ascii="仿宋_GB2312" w:hAnsi="仿宋_GB2312" w:eastAsia="仿宋_GB2312" w:cs="仿宋_GB2312"/>
          <w:color w:val="auto"/>
          <w:sz w:val="32"/>
          <w:szCs w:val="32"/>
        </w:rPr>
        <w:t>强与</w:t>
      </w:r>
      <w:r>
        <w:rPr>
          <w:rFonts w:hint="eastAsia" w:ascii="仿宋_GB2312" w:hAnsi="仿宋_GB2312" w:eastAsia="仿宋_GB2312" w:cs="仿宋_GB2312"/>
          <w:color w:val="auto"/>
          <w:sz w:val="32"/>
          <w:szCs w:val="32"/>
          <w:lang w:val="en-US" w:eastAsia="zh-CN"/>
        </w:rPr>
        <w:t>群</w:t>
      </w:r>
      <w:r>
        <w:rPr>
          <w:rFonts w:hint="eastAsia" w:ascii="仿宋_GB2312" w:hAnsi="仿宋_GB2312" w:eastAsia="仿宋_GB2312" w:cs="仿宋_GB2312"/>
          <w:color w:val="auto"/>
          <w:sz w:val="32"/>
          <w:szCs w:val="32"/>
        </w:rPr>
        <w:t>众的互动交流。</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560" w:lineRule="exact"/>
        <w:ind w:right="0" w:rightChars="0" w:firstLine="643" w:firstLineChars="200"/>
        <w:textAlignment w:val="auto"/>
        <w:outlineLvl w:val="9"/>
        <w:rPr>
          <w:rFonts w:hint="eastAsia" w:ascii="仿宋_GB2312" w:hAnsi="仿宋_GB2312" w:eastAsia="仿宋_GB2312" w:cs="仿宋_GB2312"/>
          <w:color w:val="auto"/>
          <w:sz w:val="32"/>
          <w:szCs w:val="32"/>
          <w:lang w:val="en-US" w:eastAsia="zh-CN"/>
        </w:rPr>
      </w:pPr>
      <w:r>
        <w:rPr>
          <w:rFonts w:hint="eastAsia" w:ascii="楷体_GB2312" w:hAnsi="楷体_GB2312" w:eastAsia="楷体_GB2312" w:cs="楷体_GB2312"/>
          <w:b/>
          <w:bCs/>
          <w:i w:val="0"/>
          <w:caps w:val="0"/>
          <w:color w:val="auto"/>
          <w:spacing w:val="0"/>
          <w:sz w:val="32"/>
          <w:szCs w:val="32"/>
          <w:shd w:val="clear" w:fill="FFFFFF"/>
          <w:lang w:val="en-US" w:eastAsia="zh-CN"/>
        </w:rPr>
        <w:t>（二）</w:t>
      </w:r>
      <w:r>
        <w:rPr>
          <w:rFonts w:hint="eastAsia" w:ascii="楷体_GB2312" w:hAnsi="楷体_GB2312" w:eastAsia="楷体_GB2312" w:cs="楷体_GB2312"/>
          <w:b/>
          <w:bCs/>
          <w:i w:val="0"/>
          <w:caps w:val="0"/>
          <w:color w:val="auto"/>
          <w:spacing w:val="0"/>
          <w:sz w:val="32"/>
          <w:szCs w:val="32"/>
          <w:shd w:val="clear" w:fill="FFFFFF"/>
        </w:rPr>
        <w:t>持续做好依申请公开工作。</w:t>
      </w:r>
      <w:r>
        <w:rPr>
          <w:rFonts w:hint="eastAsia" w:ascii="仿宋_GB2312" w:hAnsi="仿宋_GB2312" w:eastAsia="仿宋_GB2312" w:cs="仿宋_GB2312"/>
          <w:i w:val="0"/>
          <w:caps w:val="0"/>
          <w:color w:val="auto"/>
          <w:spacing w:val="0"/>
          <w:sz w:val="32"/>
          <w:szCs w:val="32"/>
          <w:shd w:val="clear" w:fill="FFFFFF"/>
          <w:lang w:val="en-US" w:eastAsia="zh-CN"/>
        </w:rPr>
        <w:t>完善</w:t>
      </w:r>
      <w:r>
        <w:rPr>
          <w:rFonts w:hint="eastAsia" w:ascii="仿宋_GB2312" w:hAnsi="仿宋_GB2312" w:eastAsia="仿宋_GB2312" w:cs="仿宋_GB2312"/>
          <w:i w:val="0"/>
          <w:caps w:val="0"/>
          <w:color w:val="auto"/>
          <w:spacing w:val="0"/>
          <w:sz w:val="32"/>
          <w:szCs w:val="32"/>
          <w:shd w:val="clear" w:fill="FFFFFF"/>
        </w:rPr>
        <w:t>依申请公开办理规范，建立健全政府信息公开申请登记、审核、办理、答复、归档制度，依法依规及时准确受理答复依申请公开件。</w:t>
      </w:r>
      <w:r>
        <w:rPr>
          <w:rFonts w:hint="eastAsia" w:ascii="仿宋_GB2312" w:hAnsi="仿宋_GB2312" w:eastAsia="仿宋_GB2312" w:cs="仿宋_GB2312"/>
          <w:i w:val="0"/>
          <w:caps w:val="0"/>
          <w:color w:val="auto"/>
          <w:spacing w:val="0"/>
          <w:sz w:val="32"/>
          <w:szCs w:val="32"/>
          <w:shd w:val="clear" w:fill="FFFFFF"/>
          <w:lang w:val="en-US" w:eastAsia="zh-CN"/>
        </w:rPr>
        <w:t>2020年，</w:t>
      </w:r>
      <w:r>
        <w:rPr>
          <w:rFonts w:hint="eastAsia" w:ascii="仿宋_GB2312" w:hAnsi="仿宋_GB2312" w:eastAsia="仿宋_GB2312" w:cs="仿宋_GB2312"/>
          <w:i w:val="0"/>
          <w:caps w:val="0"/>
          <w:color w:val="auto"/>
          <w:spacing w:val="0"/>
          <w:sz w:val="32"/>
          <w:szCs w:val="32"/>
          <w:shd w:val="clear" w:fill="FFFFFF"/>
        </w:rPr>
        <w:t>本机关共受理政府信息公开申请</w:t>
      </w:r>
      <w:r>
        <w:rPr>
          <w:rFonts w:hint="eastAsia" w:ascii="仿宋_GB2312" w:hAnsi="仿宋_GB2312" w:eastAsia="仿宋_GB2312" w:cs="仿宋_GB2312"/>
          <w:i w:val="0"/>
          <w:caps w:val="0"/>
          <w:color w:val="auto"/>
          <w:spacing w:val="0"/>
          <w:sz w:val="32"/>
          <w:szCs w:val="32"/>
          <w:shd w:val="clear" w:fill="FFFFFF"/>
          <w:lang w:val="en-US" w:eastAsia="zh-CN"/>
        </w:rPr>
        <w:t>4</w:t>
      </w:r>
      <w:r>
        <w:rPr>
          <w:rFonts w:hint="eastAsia" w:ascii="仿宋_GB2312" w:hAnsi="仿宋_GB2312" w:eastAsia="仿宋_GB2312" w:cs="仿宋_GB2312"/>
          <w:i w:val="0"/>
          <w:caps w:val="0"/>
          <w:color w:val="auto"/>
          <w:spacing w:val="0"/>
          <w:sz w:val="32"/>
          <w:szCs w:val="32"/>
          <w:shd w:val="clear" w:fill="FFFFFF"/>
        </w:rPr>
        <w:t>件，全部在规定时限内受理并依法依规作出答复。全年没有收到以应急管理部为被申请人的政府信息公开行政复议案件和行政诉讼案件。</w:t>
      </w:r>
    </w:p>
    <w:p>
      <w:pPr>
        <w:pStyle w:val="2"/>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3" w:firstLineChars="200"/>
        <w:jc w:val="left"/>
        <w:textAlignment w:val="auto"/>
        <w:outlineLvl w:val="9"/>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楷体_GB2312" w:hAnsi="楷体_GB2312" w:eastAsia="楷体_GB2312" w:cs="楷体_GB2312"/>
          <w:b/>
          <w:bCs/>
          <w:color w:val="auto"/>
          <w:sz w:val="32"/>
          <w:szCs w:val="32"/>
          <w:lang w:val="en-US" w:eastAsia="zh-CN"/>
        </w:rPr>
        <w:t>（三）加强政府信息管理。</w:t>
      </w:r>
      <w:r>
        <w:rPr>
          <w:rFonts w:hint="eastAsia" w:ascii="仿宋_GB2312" w:hAnsi="仿宋_GB2312" w:eastAsia="仿宋_GB2312" w:cs="仿宋_GB2312"/>
          <w:i w:val="0"/>
          <w:caps w:val="0"/>
          <w:color w:val="auto"/>
          <w:spacing w:val="0"/>
          <w:sz w:val="32"/>
          <w:szCs w:val="32"/>
          <w:shd w:val="clear" w:fill="FFFFFF"/>
        </w:rPr>
        <w:t>建立健全政府信息公开审查机制，明确审查的程序和责任。制定规范性文件管理办法，对规范性文件等印发前的征求意见、印发后的公开发布和政策解读等进行了明确规定，全年在政府门户网站“征求意见”栏目发布征求意见</w:t>
      </w:r>
      <w:r>
        <w:rPr>
          <w:rFonts w:hint="eastAsia" w:ascii="仿宋_GB2312" w:hAnsi="仿宋_GB2312" w:eastAsia="仿宋_GB2312" w:cs="仿宋_GB2312"/>
          <w:i w:val="0"/>
          <w:caps w:val="0"/>
          <w:color w:val="auto"/>
          <w:spacing w:val="0"/>
          <w:sz w:val="32"/>
          <w:szCs w:val="32"/>
          <w:shd w:val="clear" w:fill="FFFFFF"/>
          <w:lang w:val="en-US" w:eastAsia="zh-CN"/>
        </w:rPr>
        <w:drawing>
          <wp:anchor distT="0" distB="0" distL="114300" distR="114300" simplePos="0" relativeHeight="251661312" behindDoc="0" locked="0" layoutInCell="1" allowOverlap="1">
            <wp:simplePos x="0" y="0"/>
            <wp:positionH relativeFrom="column">
              <wp:posOffset>187325</wp:posOffset>
            </wp:positionH>
            <wp:positionV relativeFrom="paragraph">
              <wp:posOffset>-5351780</wp:posOffset>
            </wp:positionV>
            <wp:extent cx="3631565" cy="1908810"/>
            <wp:effectExtent l="0" t="0" r="6985" b="15240"/>
            <wp:wrapSquare wrapText="bothSides"/>
            <wp:docPr id="4" name="图片 4" descr="征求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征求意见"/>
                    <pic:cNvPicPr>
                      <a:picLocks noChangeAspect="1"/>
                    </pic:cNvPicPr>
                  </pic:nvPicPr>
                  <pic:blipFill>
                    <a:blip r:embed="rId7"/>
                    <a:stretch>
                      <a:fillRect/>
                    </a:stretch>
                  </pic:blipFill>
                  <pic:spPr>
                    <a:xfrm>
                      <a:off x="0" y="0"/>
                      <a:ext cx="3631565" cy="1908810"/>
                    </a:xfrm>
                    <a:prstGeom prst="rect">
                      <a:avLst/>
                    </a:prstGeom>
                  </pic:spPr>
                </pic:pic>
              </a:graphicData>
            </a:graphic>
          </wp:anchor>
        </w:drawing>
      </w:r>
      <w:r>
        <w:rPr>
          <w:rFonts w:hint="eastAsia" w:ascii="仿宋_GB2312" w:hAnsi="仿宋_GB2312" w:eastAsia="仿宋_GB2312" w:cs="仿宋_GB2312"/>
          <w:i w:val="0"/>
          <w:caps w:val="0"/>
          <w:color w:val="auto"/>
          <w:spacing w:val="0"/>
          <w:sz w:val="32"/>
          <w:szCs w:val="32"/>
          <w:shd w:val="clear" w:fill="FFFFFF"/>
        </w:rPr>
        <w:t>稿2条。</w:t>
      </w:r>
      <w:r>
        <w:rPr>
          <w:rFonts w:hint="eastAsia" w:ascii="仿宋_GB2312" w:hAnsi="仿宋_GB2312" w:eastAsia="仿宋_GB2312" w:cs="仿宋_GB2312"/>
          <w:i w:val="0"/>
          <w:caps w:val="0"/>
          <w:color w:val="auto"/>
          <w:spacing w:val="0"/>
          <w:sz w:val="32"/>
          <w:szCs w:val="32"/>
          <w:shd w:val="clear" w:fill="FFFFFF"/>
          <w:lang w:val="en-US" w:eastAsia="zh-CN"/>
        </w:rPr>
        <w:t>修订</w:t>
      </w:r>
      <w:r>
        <w:rPr>
          <w:rFonts w:hint="eastAsia" w:ascii="仿宋_GB2312" w:hAnsi="仿宋_GB2312" w:eastAsia="仿宋_GB2312" w:cs="仿宋_GB2312"/>
          <w:i w:val="0"/>
          <w:caps w:val="0"/>
          <w:color w:val="auto"/>
          <w:spacing w:val="0"/>
          <w:sz w:val="32"/>
          <w:szCs w:val="32"/>
          <w:shd w:val="clear" w:fill="FFFFFF"/>
        </w:rPr>
        <w:t>政府网站管理办法，规范政府网站内容建设和信息发布审核机制。</w:t>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3" w:firstLineChars="200"/>
        <w:textAlignment w:val="auto"/>
        <w:outlineLvl w:val="9"/>
        <w:rPr>
          <w:rFonts w:hint="eastAsia" w:ascii="仿宋_GB2312" w:hAnsi="仿宋_GB2312" w:eastAsia="仿宋_GB2312" w:cs="仿宋_GB2312"/>
          <w:color w:val="auto"/>
          <w:sz w:val="32"/>
          <w:szCs w:val="32"/>
        </w:rPr>
      </w:pPr>
      <w:r>
        <w:rPr>
          <w:rFonts w:hint="eastAsia" w:ascii="楷体_GB2312" w:hAnsi="楷体_GB2312" w:eastAsia="楷体_GB2312" w:cs="楷体_GB2312"/>
          <w:b/>
          <w:bCs/>
          <w:color w:val="auto"/>
          <w:sz w:val="32"/>
          <w:szCs w:val="32"/>
          <w:lang w:val="en-US" w:eastAsia="zh-CN"/>
        </w:rPr>
        <w:t>（四）优化平台建设。</w:t>
      </w:r>
      <w:r>
        <w:rPr>
          <w:rFonts w:hint="eastAsia" w:ascii="仿宋_GB2312" w:eastAsia="仿宋_GB2312"/>
          <w:color w:val="auto"/>
          <w:sz w:val="32"/>
          <w:szCs w:val="32"/>
          <w:lang w:val="en-US" w:eastAsia="zh-CN"/>
        </w:rPr>
        <w:t>根据“三定”方案，结合局网站改版升级，对政务信息公开栏目重新规划。突出我局重点工作，重点抓好安全生产、自然灾害防治、应急救援演练、执法信息、双随机双公示、重大项目等重点领域信息公开，增设应急科普等专业栏目，更多地使公众获得防灾减灾知识。</w:t>
      </w:r>
      <w:r>
        <w:rPr>
          <w:rFonts w:hint="eastAsia" w:ascii="仿宋_GB2312" w:hAnsi="仿宋_GB2312" w:eastAsia="仿宋_GB2312" w:cs="仿宋_GB2312"/>
          <w:color w:val="auto"/>
          <w:sz w:val="32"/>
          <w:szCs w:val="32"/>
        </w:rPr>
        <w:drawing>
          <wp:inline distT="0" distB="0" distL="114300" distR="114300">
            <wp:extent cx="5614035" cy="3411220"/>
            <wp:effectExtent l="0" t="0" r="5715" b="17780"/>
            <wp:docPr id="5" name="图片 5" descr="版面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版面调整"/>
                    <pic:cNvPicPr>
                      <a:picLocks noChangeAspect="1"/>
                    </pic:cNvPicPr>
                  </pic:nvPicPr>
                  <pic:blipFill>
                    <a:blip r:embed="rId8"/>
                    <a:stretch>
                      <a:fillRect/>
                    </a:stretch>
                  </pic:blipFill>
                  <pic:spPr>
                    <a:xfrm>
                      <a:off x="0" y="0"/>
                      <a:ext cx="5614035" cy="3411220"/>
                    </a:xfrm>
                    <a:prstGeom prst="rect">
                      <a:avLst/>
                    </a:prstGeom>
                  </pic:spPr>
                </pic:pic>
              </a:graphicData>
            </a:graphic>
          </wp:inline>
        </w:drawing>
      </w:r>
    </w:p>
    <w:p>
      <w:pPr>
        <w:pStyle w:val="2"/>
        <w:keepNext w:val="0"/>
        <w:keepLines w:val="0"/>
        <w:pageBreakBefore w:val="0"/>
        <w:widowControl/>
        <w:shd w:val="clear" w:color="auto" w:fill="FFFFFF"/>
        <w:kinsoku/>
        <w:wordWrap/>
        <w:overflowPunct/>
        <w:topLinePunct w:val="0"/>
        <w:autoSpaceDE/>
        <w:autoSpaceDN/>
        <w:bidi w:val="0"/>
        <w:adjustRightInd/>
        <w:snapToGrid/>
        <w:spacing w:before="0" w:beforeLines="0" w:beforeAutospacing="0" w:after="0" w:afterLines="0" w:afterAutospacing="0" w:line="240" w:lineRule="auto"/>
        <w:ind w:right="0" w:rightChars="0" w:firstLine="643" w:firstLineChars="200"/>
        <w:textAlignment w:val="auto"/>
        <w:outlineLvl w:val="9"/>
        <w:rPr>
          <w:rFonts w:hint="eastAsia" w:ascii="楷体_GB2312" w:hAnsi="楷体_GB2312" w:eastAsia="楷体_GB2312" w:cs="楷体_GB2312"/>
          <w:b/>
          <w:bCs/>
          <w:color w:val="auto"/>
          <w:sz w:val="32"/>
          <w:szCs w:val="32"/>
          <w:shd w:val="clear" w:color="auto" w:fill="FFFFFF"/>
          <w:lang w:val="en-US" w:eastAsia="zh-CN"/>
        </w:rPr>
      </w:pPr>
      <w:r>
        <w:rPr>
          <w:rFonts w:hint="eastAsia" w:ascii="楷体_GB2312" w:hAnsi="楷体_GB2312" w:eastAsia="楷体_GB2312" w:cs="楷体_GB2312"/>
          <w:b/>
          <w:bCs/>
          <w:color w:val="auto"/>
          <w:sz w:val="32"/>
          <w:szCs w:val="32"/>
          <w:lang w:val="en-US" w:eastAsia="zh-CN"/>
        </w:rPr>
        <w:t>（五）强化监督保障。</w:t>
      </w:r>
      <w:r>
        <w:rPr>
          <w:rFonts w:hint="eastAsia" w:ascii="仿宋_GB2312" w:eastAsia="仿宋_GB2312"/>
          <w:color w:val="auto"/>
          <w:sz w:val="32"/>
          <w:szCs w:val="32"/>
          <w:lang w:val="en-US" w:eastAsia="zh-CN"/>
        </w:rPr>
        <w:t>一是加强组织领导。及时调整局政务公开工作领导小组成员。由分管负责同志任组长，各科室、单位负责同志为成员，各科室单位指定1名联络员。领导小组办公室设在局办公室，负责牵头政务公开日常工作。二是印发《2020年市应急局政务公开工作要点》，明确局政务公开的重点工作及各科室的职责分工，着力推动行政权力全过程公开、公共服务全流程公开、社会关切全方位回应。三是</w:t>
      </w:r>
      <w:r>
        <w:rPr>
          <w:rFonts w:hint="eastAsia" w:ascii="仿宋_GB2312" w:hAnsi="仿宋_GB2312" w:eastAsia="仿宋_GB2312" w:cs="仿宋_GB2312"/>
          <w:color w:val="auto"/>
          <w:sz w:val="32"/>
          <w:szCs w:val="32"/>
          <w:shd w:val="clear" w:color="auto" w:fill="FFFFFF"/>
          <w:lang w:val="en-US" w:eastAsia="zh-CN"/>
        </w:rPr>
        <w:t>加强考评督查和培训工作。年初制年度政务公开工作安排，下发《关于做好当前政务公开工作主要任务的通知》，并做好督促检查工作。</w:t>
      </w:r>
      <w:r>
        <w:rPr>
          <w:rFonts w:hint="eastAsia" w:ascii="楷体_GB2312" w:hAnsi="楷体_GB2312" w:eastAsia="楷体_GB2312" w:cs="楷体_GB2312"/>
          <w:b/>
          <w:bCs/>
          <w:color w:val="auto"/>
          <w:sz w:val="32"/>
          <w:szCs w:val="32"/>
          <w:shd w:val="clear" w:color="auto" w:fill="FFFFFF"/>
          <w:lang w:val="en-US" w:eastAsia="zh-CN"/>
        </w:rPr>
        <w:drawing>
          <wp:inline distT="0" distB="0" distL="114300" distR="114300">
            <wp:extent cx="5613400" cy="2573020"/>
            <wp:effectExtent l="0" t="0" r="6350" b="17780"/>
            <wp:docPr id="6" name="图片 6" descr="工作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工作计划"/>
                    <pic:cNvPicPr>
                      <a:picLocks noChangeAspect="1"/>
                    </pic:cNvPicPr>
                  </pic:nvPicPr>
                  <pic:blipFill>
                    <a:blip r:embed="rId9"/>
                    <a:stretch>
                      <a:fillRect/>
                    </a:stretch>
                  </pic:blipFill>
                  <pic:spPr>
                    <a:xfrm>
                      <a:off x="0" y="0"/>
                      <a:ext cx="5613400" cy="2573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二、主动公开政府信息情况</w:t>
      </w:r>
    </w:p>
    <w:p>
      <w:pPr>
        <w:rPr>
          <w:rFonts w:hint="eastAsia"/>
          <w:b/>
          <w:sz w:val="24"/>
          <w:szCs w:val="24"/>
        </w:rPr>
      </w:pPr>
    </w:p>
    <w:tbl>
      <w:tblPr>
        <w:tblStyle w:val="5"/>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985"/>
        <w:gridCol w:w="20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8931" w:type="dxa"/>
            <w:gridSpan w:val="4"/>
            <w:vAlign w:val="center"/>
          </w:tcPr>
          <w:p>
            <w:pPr>
              <w:jc w:val="center"/>
              <w:rPr>
                <w:rFonts w:hint="eastAsia"/>
                <w:sz w:val="24"/>
                <w:szCs w:val="24"/>
              </w:rPr>
            </w:pPr>
            <w:r>
              <w:rPr>
                <w:rFonts w:hint="eastAsia"/>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jc w:val="center"/>
              <w:rPr>
                <w:rFonts w:hint="eastAsia"/>
                <w:sz w:val="24"/>
                <w:szCs w:val="24"/>
              </w:rPr>
            </w:pPr>
            <w:r>
              <w:rPr>
                <w:rFonts w:hint="eastAsia"/>
                <w:sz w:val="24"/>
                <w:szCs w:val="24"/>
              </w:rPr>
              <w:t>本年新制作数量</w:t>
            </w:r>
          </w:p>
        </w:tc>
        <w:tc>
          <w:tcPr>
            <w:tcW w:w="2030" w:type="dxa"/>
            <w:vAlign w:val="center"/>
          </w:tcPr>
          <w:p>
            <w:pPr>
              <w:jc w:val="center"/>
              <w:rPr>
                <w:sz w:val="24"/>
                <w:szCs w:val="24"/>
              </w:rPr>
            </w:pPr>
            <w:r>
              <w:rPr>
                <w:rFonts w:hint="eastAsia"/>
                <w:sz w:val="24"/>
                <w:szCs w:val="24"/>
              </w:rPr>
              <w:t>本年新</w:t>
            </w:r>
          </w:p>
          <w:p>
            <w:pPr>
              <w:jc w:val="center"/>
              <w:rPr>
                <w:rFonts w:hint="eastAsia"/>
                <w:sz w:val="24"/>
                <w:szCs w:val="24"/>
              </w:rPr>
            </w:pPr>
            <w:r>
              <w:rPr>
                <w:rFonts w:hint="eastAsia"/>
                <w:sz w:val="24"/>
                <w:szCs w:val="24"/>
              </w:rPr>
              <w:t>公开数量</w:t>
            </w:r>
          </w:p>
        </w:tc>
        <w:tc>
          <w:tcPr>
            <w:tcW w:w="2222" w:type="dxa"/>
            <w:vAlign w:val="center"/>
          </w:tcPr>
          <w:p>
            <w:pPr>
              <w:jc w:val="center"/>
              <w:rPr>
                <w:sz w:val="24"/>
                <w:szCs w:val="24"/>
              </w:rPr>
            </w:pPr>
            <w:r>
              <w:rPr>
                <w:rFonts w:hint="eastAsia"/>
                <w:sz w:val="24"/>
                <w:szCs w:val="24"/>
              </w:rPr>
              <w:t>对外公开</w:t>
            </w:r>
          </w:p>
          <w:p>
            <w:pPr>
              <w:jc w:val="center"/>
              <w:rPr>
                <w:rFonts w:hint="eastAsia"/>
                <w:sz w:val="24"/>
                <w:szCs w:val="24"/>
              </w:rPr>
            </w:pPr>
            <w:r>
              <w:rPr>
                <w:rFonts w:hint="eastAsia"/>
                <w:sz w:val="24"/>
                <w:szCs w:val="24"/>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jc w:val="center"/>
        </w:trPr>
        <w:tc>
          <w:tcPr>
            <w:tcW w:w="2694" w:type="dxa"/>
            <w:vAlign w:val="center"/>
          </w:tcPr>
          <w:p>
            <w:pPr>
              <w:rPr>
                <w:rFonts w:hint="eastAsia"/>
                <w:sz w:val="24"/>
                <w:szCs w:val="24"/>
              </w:rPr>
            </w:pPr>
            <w:r>
              <w:rPr>
                <w:rFonts w:hint="eastAsia"/>
                <w:sz w:val="24"/>
                <w:szCs w:val="24"/>
              </w:rPr>
              <w:t>规章</w:t>
            </w:r>
          </w:p>
        </w:tc>
        <w:tc>
          <w:tcPr>
            <w:tcW w:w="1985"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030"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222"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2694" w:type="dxa"/>
            <w:vAlign w:val="center"/>
          </w:tcPr>
          <w:p>
            <w:pPr>
              <w:rPr>
                <w:rFonts w:hint="eastAsia"/>
                <w:sz w:val="24"/>
                <w:szCs w:val="24"/>
              </w:rPr>
            </w:pPr>
            <w:r>
              <w:rPr>
                <w:rFonts w:hint="eastAsia"/>
                <w:sz w:val="24"/>
                <w:szCs w:val="24"/>
              </w:rPr>
              <w:t>规范性文件</w:t>
            </w:r>
          </w:p>
        </w:tc>
        <w:tc>
          <w:tcPr>
            <w:tcW w:w="1985"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030" w:type="dxa"/>
            <w:vAlign w:val="center"/>
          </w:tcPr>
          <w:p>
            <w:pPr>
              <w:jc w:val="center"/>
              <w:rPr>
                <w:rFonts w:hint="eastAsia" w:eastAsiaTheme="minorEastAsia"/>
                <w:sz w:val="24"/>
                <w:szCs w:val="24"/>
                <w:lang w:val="en-US" w:eastAsia="zh-CN"/>
              </w:rPr>
            </w:pPr>
            <w:r>
              <w:rPr>
                <w:rFonts w:hint="eastAsia"/>
                <w:sz w:val="24"/>
                <w:szCs w:val="24"/>
                <w:lang w:val="en-US" w:eastAsia="zh-CN"/>
              </w:rPr>
              <w:t>0</w:t>
            </w:r>
          </w:p>
        </w:tc>
        <w:tc>
          <w:tcPr>
            <w:tcW w:w="2222" w:type="dxa"/>
            <w:vAlign w:val="center"/>
          </w:tcPr>
          <w:p>
            <w:pPr>
              <w:jc w:val="center"/>
              <w:rPr>
                <w:rFonts w:hint="eastAsia" w:eastAsiaTheme="minorEastAsia"/>
                <w:sz w:val="24"/>
                <w:szCs w:val="24"/>
                <w:lang w:val="en-US" w:eastAsia="zh-CN"/>
              </w:rPr>
            </w:pPr>
            <w:r>
              <w:rPr>
                <w:rFonts w:hint="eastAsia"/>
                <w:sz w:val="24"/>
                <w:szCs w:val="24"/>
                <w:lang w:val="en-US" w:eastAsia="zh-CN"/>
              </w:rPr>
              <w:t>6</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8931" w:type="dxa"/>
            <w:gridSpan w:val="4"/>
            <w:vAlign w:val="center"/>
          </w:tcPr>
          <w:p>
            <w:pPr>
              <w:jc w:val="center"/>
              <w:rPr>
                <w:rFonts w:hint="eastAsia"/>
                <w:sz w:val="24"/>
                <w:szCs w:val="24"/>
              </w:rPr>
            </w:pPr>
            <w:r>
              <w:rPr>
                <w:rFonts w:hint="eastAsia"/>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rPr>
                <w:rFonts w:hint="eastAsia"/>
                <w:sz w:val="24"/>
                <w:szCs w:val="24"/>
              </w:rPr>
            </w:pPr>
            <w:r>
              <w:rPr>
                <w:rFonts w:hint="eastAsia"/>
                <w:sz w:val="24"/>
                <w:szCs w:val="24"/>
              </w:rPr>
              <w:t>上一年项目数量</w:t>
            </w:r>
          </w:p>
        </w:tc>
        <w:tc>
          <w:tcPr>
            <w:tcW w:w="2030" w:type="dxa"/>
            <w:vAlign w:val="center"/>
          </w:tcPr>
          <w:p>
            <w:pPr>
              <w:jc w:val="center"/>
              <w:rPr>
                <w:rFonts w:hint="eastAsia"/>
                <w:sz w:val="24"/>
                <w:szCs w:val="24"/>
              </w:rPr>
            </w:pPr>
            <w:r>
              <w:rPr>
                <w:rFonts w:hint="eastAsia"/>
                <w:sz w:val="24"/>
                <w:szCs w:val="24"/>
              </w:rPr>
              <w:t>本年增/减</w:t>
            </w:r>
          </w:p>
        </w:tc>
        <w:tc>
          <w:tcPr>
            <w:tcW w:w="2222" w:type="dxa"/>
            <w:vAlign w:val="center"/>
          </w:tcPr>
          <w:p>
            <w:pPr>
              <w:jc w:val="center"/>
              <w:rPr>
                <w:rFonts w:hint="eastAsia"/>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2694" w:type="dxa"/>
            <w:vAlign w:val="center"/>
          </w:tcPr>
          <w:p>
            <w:pPr>
              <w:rPr>
                <w:rFonts w:hint="eastAsia"/>
                <w:sz w:val="24"/>
                <w:szCs w:val="24"/>
              </w:rPr>
            </w:pPr>
            <w:r>
              <w:rPr>
                <w:rFonts w:hint="eastAsia"/>
                <w:sz w:val="24"/>
                <w:szCs w:val="24"/>
              </w:rPr>
              <w:t>行政许可</w:t>
            </w:r>
          </w:p>
        </w:tc>
        <w:tc>
          <w:tcPr>
            <w:tcW w:w="1985" w:type="dxa"/>
            <w:vAlign w:val="center"/>
          </w:tcPr>
          <w:p>
            <w:pPr>
              <w:jc w:val="center"/>
              <w:rPr>
                <w:rFonts w:hint="default" w:eastAsiaTheme="minorEastAsia"/>
                <w:sz w:val="24"/>
                <w:szCs w:val="24"/>
                <w:lang w:val="en-US" w:eastAsia="zh-CN"/>
              </w:rPr>
            </w:pPr>
            <w:r>
              <w:rPr>
                <w:rFonts w:hint="eastAsia"/>
                <w:sz w:val="24"/>
                <w:szCs w:val="24"/>
                <w:lang w:val="en-US" w:eastAsia="zh-CN"/>
              </w:rPr>
              <w:t>11</w:t>
            </w:r>
          </w:p>
        </w:tc>
        <w:tc>
          <w:tcPr>
            <w:tcW w:w="2030" w:type="dxa"/>
            <w:vAlign w:val="center"/>
          </w:tcPr>
          <w:p>
            <w:pPr>
              <w:jc w:val="center"/>
              <w:rPr>
                <w:rFonts w:hint="default" w:eastAsiaTheme="minorEastAsia"/>
                <w:sz w:val="24"/>
                <w:szCs w:val="24"/>
                <w:lang w:val="en-US" w:eastAsia="zh-CN"/>
              </w:rPr>
            </w:pPr>
            <w:r>
              <w:rPr>
                <w:rFonts w:hint="eastAsia"/>
                <w:sz w:val="24"/>
                <w:szCs w:val="24"/>
                <w:lang w:val="en-US" w:eastAsia="zh-CN"/>
              </w:rPr>
              <w:t>0</w:t>
            </w:r>
          </w:p>
        </w:tc>
        <w:tc>
          <w:tcPr>
            <w:tcW w:w="2222" w:type="dxa"/>
            <w:vAlign w:val="center"/>
          </w:tcPr>
          <w:p>
            <w:pPr>
              <w:jc w:val="center"/>
              <w:rPr>
                <w:rFonts w:hint="default" w:eastAsiaTheme="minorEastAsia"/>
                <w:sz w:val="24"/>
                <w:szCs w:val="24"/>
                <w:lang w:val="en-US" w:eastAsia="zh-CN"/>
              </w:rPr>
            </w:pPr>
            <w:r>
              <w:rPr>
                <w:rFonts w:hint="eastAsia"/>
                <w:sz w:val="24"/>
                <w:szCs w:val="24"/>
                <w:lang w:val="en-US" w:eastAsia="zh-CN"/>
              </w:rPr>
              <w:t>1072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2694" w:type="dxa"/>
            <w:vAlign w:val="center"/>
          </w:tcPr>
          <w:p>
            <w:pPr>
              <w:rPr>
                <w:rFonts w:hint="eastAsia"/>
                <w:sz w:val="24"/>
                <w:szCs w:val="24"/>
              </w:rPr>
            </w:pPr>
            <w:r>
              <w:rPr>
                <w:rFonts w:hint="eastAsia"/>
                <w:sz w:val="24"/>
                <w:szCs w:val="24"/>
              </w:rPr>
              <w:t>其他对外管理服务事项</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54</w:t>
            </w:r>
          </w:p>
        </w:tc>
        <w:tc>
          <w:tcPr>
            <w:tcW w:w="2030"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减3</w:t>
            </w:r>
          </w:p>
        </w:tc>
        <w:tc>
          <w:tcPr>
            <w:tcW w:w="2222"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19517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rPr>
                <w:rFonts w:hint="eastAsia"/>
                <w:color w:val="auto"/>
                <w:sz w:val="24"/>
                <w:szCs w:val="24"/>
              </w:rPr>
            </w:pPr>
            <w:r>
              <w:rPr>
                <w:rFonts w:hint="eastAsia"/>
                <w:color w:val="auto"/>
                <w:sz w:val="24"/>
                <w:szCs w:val="24"/>
              </w:rPr>
              <w:t>上一年项目数量</w:t>
            </w:r>
          </w:p>
        </w:tc>
        <w:tc>
          <w:tcPr>
            <w:tcW w:w="2030" w:type="dxa"/>
            <w:vAlign w:val="center"/>
          </w:tcPr>
          <w:p>
            <w:pPr>
              <w:jc w:val="center"/>
              <w:rPr>
                <w:rFonts w:hint="eastAsia"/>
                <w:color w:val="auto"/>
                <w:sz w:val="24"/>
                <w:szCs w:val="24"/>
              </w:rPr>
            </w:pPr>
            <w:r>
              <w:rPr>
                <w:rFonts w:hint="eastAsia"/>
                <w:color w:val="auto"/>
                <w:sz w:val="24"/>
                <w:szCs w:val="24"/>
              </w:rPr>
              <w:t>本年增/减</w:t>
            </w:r>
          </w:p>
        </w:tc>
        <w:tc>
          <w:tcPr>
            <w:tcW w:w="2222" w:type="dxa"/>
            <w:vAlign w:val="center"/>
          </w:tcPr>
          <w:p>
            <w:pPr>
              <w:jc w:val="center"/>
              <w:rPr>
                <w:rFonts w:hint="eastAsia"/>
                <w:color w:val="auto"/>
                <w:sz w:val="24"/>
                <w:szCs w:val="24"/>
              </w:rPr>
            </w:pPr>
            <w:r>
              <w:rPr>
                <w:rFonts w:hint="eastAsia"/>
                <w:color w:val="auto"/>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694" w:type="dxa"/>
            <w:vAlign w:val="center"/>
          </w:tcPr>
          <w:p>
            <w:pPr>
              <w:rPr>
                <w:rFonts w:hint="eastAsia"/>
                <w:color w:val="auto"/>
                <w:sz w:val="24"/>
                <w:szCs w:val="24"/>
              </w:rPr>
            </w:pPr>
            <w:r>
              <w:rPr>
                <w:rFonts w:hint="eastAsia"/>
                <w:color w:val="auto"/>
                <w:sz w:val="24"/>
                <w:szCs w:val="24"/>
              </w:rPr>
              <w:t>行政处罚</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313</w:t>
            </w:r>
          </w:p>
        </w:tc>
        <w:tc>
          <w:tcPr>
            <w:tcW w:w="2030"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0</w:t>
            </w:r>
          </w:p>
        </w:tc>
        <w:tc>
          <w:tcPr>
            <w:tcW w:w="2222"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694" w:type="dxa"/>
            <w:vAlign w:val="center"/>
          </w:tcPr>
          <w:p>
            <w:pPr>
              <w:rPr>
                <w:rFonts w:hint="eastAsia"/>
                <w:sz w:val="24"/>
                <w:szCs w:val="24"/>
              </w:rPr>
            </w:pPr>
            <w:r>
              <w:rPr>
                <w:rFonts w:hint="eastAsia"/>
                <w:sz w:val="24"/>
                <w:szCs w:val="24"/>
              </w:rPr>
              <w:t>行政强制</w:t>
            </w:r>
          </w:p>
        </w:tc>
        <w:tc>
          <w:tcPr>
            <w:tcW w:w="1985"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4</w:t>
            </w:r>
          </w:p>
        </w:tc>
        <w:tc>
          <w:tcPr>
            <w:tcW w:w="2030"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c>
          <w:tcPr>
            <w:tcW w:w="2222"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rPr>
                <w:rFonts w:hint="eastAsia"/>
                <w:color w:val="auto"/>
                <w:sz w:val="24"/>
                <w:szCs w:val="24"/>
              </w:rPr>
            </w:pPr>
            <w:r>
              <w:rPr>
                <w:rFonts w:hint="eastAsia"/>
                <w:color w:val="auto"/>
                <w:sz w:val="24"/>
                <w:szCs w:val="24"/>
              </w:rPr>
              <w:t>上一年项目数量</w:t>
            </w:r>
          </w:p>
        </w:tc>
        <w:tc>
          <w:tcPr>
            <w:tcW w:w="4252" w:type="dxa"/>
            <w:gridSpan w:val="2"/>
            <w:vAlign w:val="center"/>
          </w:tcPr>
          <w:p>
            <w:pPr>
              <w:jc w:val="center"/>
              <w:rPr>
                <w:rFonts w:hint="eastAsia"/>
                <w:color w:val="auto"/>
                <w:sz w:val="24"/>
                <w:szCs w:val="24"/>
              </w:rPr>
            </w:pPr>
            <w:r>
              <w:rPr>
                <w:rFonts w:hint="eastAsia"/>
                <w:color w:val="auto"/>
                <w:sz w:val="24"/>
                <w:szCs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2694" w:type="dxa"/>
            <w:vAlign w:val="center"/>
          </w:tcPr>
          <w:p>
            <w:pPr>
              <w:rPr>
                <w:rFonts w:hint="eastAsia"/>
                <w:color w:val="auto"/>
                <w:sz w:val="24"/>
                <w:szCs w:val="24"/>
              </w:rPr>
            </w:pPr>
            <w:r>
              <w:rPr>
                <w:rFonts w:hint="eastAsia"/>
                <w:color w:val="auto"/>
                <w:sz w:val="24"/>
                <w:szCs w:val="24"/>
              </w:rPr>
              <w:t>行政事业性收费</w:t>
            </w:r>
          </w:p>
        </w:tc>
        <w:tc>
          <w:tcPr>
            <w:tcW w:w="1985" w:type="dxa"/>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c>
          <w:tcPr>
            <w:tcW w:w="4252" w:type="dxa"/>
            <w:gridSpan w:val="2"/>
            <w:vAlign w:val="center"/>
          </w:tcPr>
          <w:p>
            <w:pPr>
              <w:jc w:val="center"/>
              <w:rPr>
                <w:rFonts w:hint="eastAsia" w:eastAsiaTheme="minorEastAsia"/>
                <w:color w:val="auto"/>
                <w:sz w:val="24"/>
                <w:szCs w:val="24"/>
                <w:lang w:val="en-US" w:eastAsia="zh-CN"/>
              </w:rPr>
            </w:pPr>
            <w:r>
              <w:rPr>
                <w:rFonts w:hint="eastAsia"/>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931" w:type="dxa"/>
            <w:gridSpan w:val="4"/>
            <w:vAlign w:val="center"/>
          </w:tcPr>
          <w:p>
            <w:pPr>
              <w:jc w:val="center"/>
              <w:rPr>
                <w:rFonts w:hint="eastAsia"/>
                <w:color w:val="auto"/>
                <w:sz w:val="24"/>
                <w:szCs w:val="24"/>
              </w:rPr>
            </w:pPr>
            <w:r>
              <w:rPr>
                <w:rFonts w:hint="eastAsia"/>
                <w:color w:val="auto"/>
                <w:sz w:val="24"/>
                <w:szCs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2694" w:type="dxa"/>
            <w:vAlign w:val="center"/>
          </w:tcPr>
          <w:p>
            <w:pPr>
              <w:jc w:val="center"/>
              <w:rPr>
                <w:rFonts w:hint="eastAsia"/>
                <w:color w:val="auto"/>
                <w:sz w:val="24"/>
                <w:szCs w:val="24"/>
              </w:rPr>
            </w:pPr>
            <w:r>
              <w:rPr>
                <w:rFonts w:hint="eastAsia"/>
                <w:color w:val="auto"/>
                <w:sz w:val="24"/>
                <w:szCs w:val="24"/>
              </w:rPr>
              <w:t>信息内容</w:t>
            </w:r>
          </w:p>
        </w:tc>
        <w:tc>
          <w:tcPr>
            <w:tcW w:w="1985" w:type="dxa"/>
            <w:vAlign w:val="center"/>
          </w:tcPr>
          <w:p>
            <w:pPr>
              <w:jc w:val="center"/>
              <w:rPr>
                <w:rFonts w:hint="eastAsia"/>
                <w:color w:val="auto"/>
                <w:sz w:val="24"/>
                <w:szCs w:val="24"/>
              </w:rPr>
            </w:pPr>
            <w:r>
              <w:rPr>
                <w:rFonts w:hint="eastAsia"/>
                <w:color w:val="auto"/>
                <w:sz w:val="24"/>
                <w:szCs w:val="24"/>
              </w:rPr>
              <w:t>采购项目数量</w:t>
            </w:r>
          </w:p>
        </w:tc>
        <w:tc>
          <w:tcPr>
            <w:tcW w:w="4252" w:type="dxa"/>
            <w:gridSpan w:val="2"/>
            <w:vAlign w:val="center"/>
          </w:tcPr>
          <w:p>
            <w:pPr>
              <w:jc w:val="center"/>
              <w:rPr>
                <w:rFonts w:hint="eastAsia"/>
                <w:color w:val="auto"/>
                <w:sz w:val="24"/>
                <w:szCs w:val="24"/>
              </w:rPr>
            </w:pPr>
            <w:r>
              <w:rPr>
                <w:rFonts w:hint="eastAsia"/>
                <w:color w:val="auto"/>
                <w:sz w:val="24"/>
                <w:szCs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2694" w:type="dxa"/>
            <w:vAlign w:val="center"/>
          </w:tcPr>
          <w:p>
            <w:pPr>
              <w:rPr>
                <w:rFonts w:hint="eastAsia"/>
                <w:color w:val="auto"/>
                <w:sz w:val="24"/>
                <w:szCs w:val="24"/>
              </w:rPr>
            </w:pPr>
            <w:r>
              <w:rPr>
                <w:rFonts w:hint="eastAsia"/>
                <w:color w:val="auto"/>
                <w:sz w:val="24"/>
                <w:szCs w:val="24"/>
              </w:rPr>
              <w:t>政府集中采购</w:t>
            </w:r>
          </w:p>
        </w:tc>
        <w:tc>
          <w:tcPr>
            <w:tcW w:w="1985" w:type="dxa"/>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5</w:t>
            </w:r>
          </w:p>
        </w:tc>
        <w:tc>
          <w:tcPr>
            <w:tcW w:w="4252" w:type="dxa"/>
            <w:gridSpan w:val="2"/>
            <w:vAlign w:val="center"/>
          </w:tcPr>
          <w:p>
            <w:pPr>
              <w:jc w:val="center"/>
              <w:rPr>
                <w:rFonts w:hint="default" w:eastAsiaTheme="minorEastAsia"/>
                <w:color w:val="auto"/>
                <w:sz w:val="24"/>
                <w:szCs w:val="24"/>
                <w:lang w:val="en-US" w:eastAsia="zh-CN"/>
              </w:rPr>
            </w:pPr>
            <w:r>
              <w:rPr>
                <w:rFonts w:hint="eastAsia"/>
                <w:color w:val="auto"/>
                <w:sz w:val="24"/>
                <w:szCs w:val="24"/>
                <w:lang w:val="en-US" w:eastAsia="zh-CN"/>
              </w:rPr>
              <w:t>1470.08</w:t>
            </w:r>
          </w:p>
        </w:tc>
      </w:tr>
    </w:tbl>
    <w:p>
      <w:pPr>
        <w:rPr>
          <w:rFonts w:hint="eastAsia" w:eastAsiaTheme="minorEastAsia"/>
          <w:b/>
          <w:sz w:val="28"/>
          <w:szCs w:val="28"/>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三、收到和处理政府信息公开申请情况</w:t>
      </w:r>
    </w:p>
    <w:tbl>
      <w:tblPr>
        <w:tblStyle w:val="5"/>
        <w:tblW w:w="978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2693"/>
        <w:gridCol w:w="567"/>
        <w:gridCol w:w="709"/>
        <w:gridCol w:w="708"/>
        <w:gridCol w:w="709"/>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4820" w:type="dxa"/>
            <w:gridSpan w:val="3"/>
            <w:vMerge w:val="restart"/>
            <w:vAlign w:val="center"/>
          </w:tcPr>
          <w:p>
            <w:pPr>
              <w:rPr>
                <w:rFonts w:hint="eastAsia"/>
              </w:rPr>
            </w:pPr>
            <w:r>
              <w:rPr>
                <w:rFonts w:hint="eastAsia"/>
              </w:rPr>
              <w:t>（本列数据的勾稽关系为：第一项加第二项之和，等于第三项加第四项之和）</w:t>
            </w:r>
          </w:p>
        </w:tc>
        <w:tc>
          <w:tcPr>
            <w:tcW w:w="4961" w:type="dxa"/>
            <w:gridSpan w:val="7"/>
            <w:vAlign w:val="center"/>
          </w:tcPr>
          <w:p>
            <w:pPr>
              <w:jc w:val="center"/>
              <w:rPr>
                <w:rFonts w:hint="eastAsia"/>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4820" w:type="dxa"/>
            <w:gridSpan w:val="3"/>
            <w:vMerge w:val="continue"/>
          </w:tcPr>
          <w:p>
            <w:pPr>
              <w:rPr>
                <w:rFonts w:hint="eastAsia"/>
              </w:rPr>
            </w:pPr>
          </w:p>
        </w:tc>
        <w:tc>
          <w:tcPr>
            <w:tcW w:w="567" w:type="dxa"/>
            <w:vMerge w:val="restart"/>
            <w:vAlign w:val="center"/>
          </w:tcPr>
          <w:p>
            <w:pPr>
              <w:jc w:val="center"/>
              <w:rPr>
                <w:rFonts w:hint="eastAsia"/>
                <w:sz w:val="18"/>
                <w:szCs w:val="18"/>
              </w:rPr>
            </w:pPr>
            <w:r>
              <w:rPr>
                <w:rFonts w:hint="eastAsia"/>
                <w:szCs w:val="21"/>
              </w:rPr>
              <w:t>自然人</w:t>
            </w:r>
          </w:p>
        </w:tc>
        <w:tc>
          <w:tcPr>
            <w:tcW w:w="3544" w:type="dxa"/>
            <w:gridSpan w:val="5"/>
            <w:vAlign w:val="center"/>
          </w:tcPr>
          <w:p>
            <w:pPr>
              <w:jc w:val="center"/>
              <w:rPr>
                <w:rFonts w:hint="eastAsia"/>
                <w:szCs w:val="21"/>
              </w:rPr>
            </w:pPr>
            <w:r>
              <w:rPr>
                <w:rFonts w:hint="eastAsia"/>
                <w:szCs w:val="21"/>
              </w:rPr>
              <w:t>法人或其他组织</w:t>
            </w:r>
          </w:p>
        </w:tc>
        <w:tc>
          <w:tcPr>
            <w:tcW w:w="850" w:type="dxa"/>
            <w:vMerge w:val="restart"/>
            <w:vAlign w:val="center"/>
          </w:tcPr>
          <w:p>
            <w:pP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7" w:hRule="atLeast"/>
        </w:trPr>
        <w:tc>
          <w:tcPr>
            <w:tcW w:w="4820" w:type="dxa"/>
            <w:gridSpan w:val="3"/>
            <w:vMerge w:val="continue"/>
          </w:tcPr>
          <w:p>
            <w:pPr>
              <w:rPr>
                <w:rFonts w:hint="eastAsia"/>
              </w:rPr>
            </w:pPr>
          </w:p>
        </w:tc>
        <w:tc>
          <w:tcPr>
            <w:tcW w:w="567" w:type="dxa"/>
            <w:vMerge w:val="continue"/>
          </w:tcPr>
          <w:p>
            <w:pPr>
              <w:rPr>
                <w:rFonts w:hint="eastAsia"/>
                <w:sz w:val="18"/>
                <w:szCs w:val="18"/>
              </w:rPr>
            </w:pPr>
          </w:p>
        </w:tc>
        <w:tc>
          <w:tcPr>
            <w:tcW w:w="709" w:type="dxa"/>
            <w:vAlign w:val="center"/>
          </w:tcPr>
          <w:p>
            <w:pPr>
              <w:rPr>
                <w:rFonts w:hint="eastAsia"/>
                <w:szCs w:val="21"/>
              </w:rPr>
            </w:pPr>
            <w:r>
              <w:rPr>
                <w:rFonts w:hint="eastAsia"/>
                <w:szCs w:val="21"/>
              </w:rPr>
              <w:t>商业企业</w:t>
            </w:r>
          </w:p>
        </w:tc>
        <w:tc>
          <w:tcPr>
            <w:tcW w:w="708" w:type="dxa"/>
            <w:vAlign w:val="center"/>
          </w:tcPr>
          <w:p>
            <w:pPr>
              <w:rPr>
                <w:rFonts w:hint="eastAsia"/>
                <w:szCs w:val="21"/>
              </w:rPr>
            </w:pPr>
            <w:r>
              <w:rPr>
                <w:rFonts w:hint="eastAsia"/>
                <w:szCs w:val="21"/>
              </w:rPr>
              <w:t>科研机构</w:t>
            </w:r>
          </w:p>
        </w:tc>
        <w:tc>
          <w:tcPr>
            <w:tcW w:w="709" w:type="dxa"/>
            <w:vAlign w:val="center"/>
          </w:tcPr>
          <w:p>
            <w:pPr>
              <w:rPr>
                <w:rFonts w:hint="eastAsia"/>
                <w:szCs w:val="21"/>
              </w:rPr>
            </w:pPr>
            <w:r>
              <w:rPr>
                <w:rFonts w:hint="eastAsia"/>
                <w:szCs w:val="21"/>
              </w:rPr>
              <w:t>社会公益组织</w:t>
            </w:r>
          </w:p>
        </w:tc>
        <w:tc>
          <w:tcPr>
            <w:tcW w:w="709" w:type="dxa"/>
            <w:vAlign w:val="center"/>
          </w:tcPr>
          <w:p>
            <w:pPr>
              <w:rPr>
                <w:rFonts w:hint="eastAsia"/>
                <w:szCs w:val="21"/>
              </w:rPr>
            </w:pPr>
            <w:r>
              <w:rPr>
                <w:rFonts w:hint="eastAsia"/>
                <w:szCs w:val="21"/>
              </w:rPr>
              <w:t>法律服务机构</w:t>
            </w:r>
          </w:p>
        </w:tc>
        <w:tc>
          <w:tcPr>
            <w:tcW w:w="709" w:type="dxa"/>
            <w:vAlign w:val="center"/>
          </w:tcPr>
          <w:p>
            <w:pPr>
              <w:rPr>
                <w:rFonts w:hint="eastAsia"/>
                <w:szCs w:val="21"/>
              </w:rPr>
            </w:pPr>
            <w:r>
              <w:rPr>
                <w:rFonts w:hint="eastAsia"/>
                <w:szCs w:val="21"/>
              </w:rPr>
              <w:t>其他</w:t>
            </w:r>
          </w:p>
        </w:tc>
        <w:tc>
          <w:tcPr>
            <w:tcW w:w="850" w:type="dxa"/>
            <w:vMerge w:val="continue"/>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trPr>
        <w:tc>
          <w:tcPr>
            <w:tcW w:w="4820" w:type="dxa"/>
            <w:gridSpan w:val="3"/>
          </w:tcPr>
          <w:p>
            <w:pPr>
              <w:rPr>
                <w:rFonts w:hint="eastAsia"/>
              </w:rPr>
            </w:pPr>
            <w:r>
              <w:rPr>
                <w:rFonts w:hint="eastAsia"/>
              </w:rPr>
              <w:t>一、本年新收政府信息公开申请数量</w:t>
            </w:r>
          </w:p>
        </w:tc>
        <w:tc>
          <w:tcPr>
            <w:tcW w:w="567" w:type="dxa"/>
            <w:vAlign w:val="center"/>
          </w:tcPr>
          <w:p>
            <w:pPr>
              <w:jc w:val="center"/>
              <w:rPr>
                <w:rFonts w:hint="eastAsia" w:eastAsiaTheme="minorEastAsia"/>
                <w:lang w:val="en-US" w:eastAsia="zh-CN"/>
              </w:rPr>
            </w:pPr>
            <w:r>
              <w:rPr>
                <w:rFonts w:hint="eastAsia"/>
                <w:lang w:val="en-US" w:eastAsia="zh-CN"/>
              </w:rPr>
              <w:t>4</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850" w:type="dxa"/>
            <w:vAlign w:val="center"/>
          </w:tcPr>
          <w:p>
            <w:pPr>
              <w:jc w:val="center"/>
              <w:rPr>
                <w:rFonts w:hint="eastAsia" w:eastAsiaTheme="minorEastAsia"/>
                <w:szCs w:val="21"/>
                <w:lang w:val="en-US" w:eastAsia="zh-CN"/>
              </w:rPr>
            </w:pPr>
            <w:r>
              <w:rPr>
                <w:rFonts w:hint="eastAsia"/>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9" w:hRule="atLeast"/>
        </w:trPr>
        <w:tc>
          <w:tcPr>
            <w:tcW w:w="4820" w:type="dxa"/>
            <w:gridSpan w:val="3"/>
          </w:tcPr>
          <w:p>
            <w:pPr>
              <w:rPr>
                <w:rFonts w:hint="eastAsia"/>
              </w:rPr>
            </w:pPr>
            <w:r>
              <w:rPr>
                <w:rFonts w:hint="eastAsia"/>
              </w:rPr>
              <w:t>二、上年结转政府信息公开申请数量</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567" w:type="dxa"/>
            <w:vMerge w:val="restart"/>
            <w:vAlign w:val="center"/>
          </w:tcPr>
          <w:p>
            <w:pPr>
              <w:jc w:val="both"/>
              <w:rPr>
                <w:rFonts w:hint="eastAsia"/>
              </w:rPr>
            </w:pPr>
            <w:r>
              <w:rPr>
                <w:rFonts w:hint="eastAsia"/>
              </w:rPr>
              <w:t>三、本年度办理结果</w:t>
            </w:r>
          </w:p>
        </w:tc>
        <w:tc>
          <w:tcPr>
            <w:tcW w:w="4253"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67" w:type="dxa"/>
            <w:vAlign w:val="center"/>
          </w:tcPr>
          <w:p>
            <w:pPr>
              <w:jc w:val="center"/>
              <w:rPr>
                <w:rFonts w:hint="eastAsia" w:eastAsiaTheme="minorEastAsia"/>
                <w:lang w:val="en-US" w:eastAsia="zh-CN"/>
              </w:rPr>
            </w:pPr>
            <w:r>
              <w:rPr>
                <w:rFonts w:hint="eastAsia"/>
                <w:lang w:val="en-US" w:eastAsia="zh-CN"/>
              </w:rPr>
              <w:t>3</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tcPr>
          <w:p>
            <w:pPr>
              <w:rPr>
                <w:rFonts w:hint="eastAsia"/>
              </w:rPr>
            </w:pPr>
          </w:p>
        </w:tc>
        <w:tc>
          <w:tcPr>
            <w:tcW w:w="4253"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67" w:type="dxa"/>
            <w:vMerge w:val="continue"/>
          </w:tcPr>
          <w:p>
            <w:pPr>
              <w:rPr>
                <w:rFonts w:hint="eastAsia"/>
              </w:rPr>
            </w:pPr>
          </w:p>
        </w:tc>
        <w:tc>
          <w:tcPr>
            <w:tcW w:w="1560"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93"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trPr>
        <w:tc>
          <w:tcPr>
            <w:tcW w:w="567" w:type="dxa"/>
            <w:vMerge w:val="continue"/>
          </w:tcPr>
          <w:p>
            <w:pPr>
              <w:rPr>
                <w:rFonts w:hint="eastAsia"/>
              </w:rPr>
            </w:pPr>
          </w:p>
        </w:tc>
        <w:tc>
          <w:tcPr>
            <w:tcW w:w="1560" w:type="dxa"/>
            <w:vMerge w:val="continue"/>
            <w:vAlign w:val="center"/>
          </w:tcPr>
          <w:p>
            <w:pPr>
              <w:rPr>
                <w:rFonts w:asciiTheme="minorEastAsia" w:hAnsiTheme="minor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67" w:type="dxa"/>
            <w:vAlign w:val="center"/>
          </w:tcPr>
          <w:p>
            <w:pPr>
              <w:jc w:val="center"/>
              <w:rPr>
                <w:rFonts w:hint="eastAsia" w:eastAsiaTheme="minorEastAsia"/>
                <w:lang w:val="en-US" w:eastAsia="zh-CN"/>
              </w:rPr>
            </w:pPr>
            <w:r>
              <w:rPr>
                <w:rFonts w:hint="eastAsia"/>
                <w:lang w:val="en-US" w:eastAsia="zh-CN"/>
              </w:rPr>
              <w:t>1</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（四）无法提供</w:t>
            </w:r>
          </w:p>
        </w:tc>
        <w:tc>
          <w:tcPr>
            <w:tcW w:w="2693"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（五）</w:t>
            </w:r>
            <w:r>
              <w:rPr>
                <w:rFonts w:hint="eastAsia" w:asciiTheme="minorEastAsia" w:hAnsiTheme="minorEastAsia"/>
                <w:sz w:val="18"/>
                <w:szCs w:val="18"/>
              </w:rPr>
              <w:t>不予处理</w:t>
            </w:r>
          </w:p>
        </w:tc>
        <w:tc>
          <w:tcPr>
            <w:tcW w:w="2693"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2．重复申请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（六）其他处理</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（七）总计</w:t>
            </w:r>
          </w:p>
        </w:tc>
        <w:tc>
          <w:tcPr>
            <w:tcW w:w="567" w:type="dxa"/>
            <w:vAlign w:val="center"/>
          </w:tcPr>
          <w:p>
            <w:pPr>
              <w:jc w:val="center"/>
              <w:rPr>
                <w:rFonts w:hint="eastAsia" w:eastAsiaTheme="minorEastAsia"/>
                <w:lang w:val="en-US" w:eastAsia="zh-CN"/>
              </w:rPr>
            </w:pPr>
            <w:r>
              <w:rPr>
                <w:rFonts w:hint="eastAsia"/>
                <w:lang w:val="en-US" w:eastAsia="zh-CN"/>
              </w:rPr>
              <w:t>4</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20" w:type="dxa"/>
            <w:gridSpan w:val="3"/>
            <w:vAlign w:val="center"/>
          </w:tcPr>
          <w:p>
            <w:pPr>
              <w:rPr>
                <w:rFonts w:hint="eastAsia"/>
              </w:rPr>
            </w:pPr>
            <w:r>
              <w:rPr>
                <w:rFonts w:hint="eastAsia"/>
              </w:rPr>
              <w:t>四、结转下年度继续办理</w:t>
            </w:r>
          </w:p>
        </w:tc>
        <w:tc>
          <w:tcPr>
            <w:tcW w:w="567" w:type="dxa"/>
            <w:vAlign w:val="center"/>
          </w:tcPr>
          <w:p>
            <w:pPr>
              <w:jc w:val="center"/>
              <w:rPr>
                <w:rFonts w:hint="eastAsia"/>
              </w:rPr>
            </w:pPr>
            <w:r>
              <w:rPr>
                <w:rFonts w:hint="eastAsia"/>
                <w:lang w:val="en-US" w:eastAsia="zh-CN"/>
              </w:rPr>
              <w:t>0</w:t>
            </w:r>
          </w:p>
        </w:tc>
        <w:tc>
          <w:tcPr>
            <w:tcW w:w="709" w:type="dxa"/>
            <w:vAlign w:val="center"/>
          </w:tcPr>
          <w:p>
            <w:pPr>
              <w:jc w:val="center"/>
              <w:rPr>
                <w:rFonts w:hint="eastAsia"/>
              </w:rPr>
            </w:pPr>
            <w:r>
              <w:rPr>
                <w:rFonts w:hint="eastAsia"/>
                <w:szCs w:val="21"/>
                <w:lang w:val="en-US" w:eastAsia="zh-CN"/>
              </w:rPr>
              <w:t>0</w:t>
            </w:r>
          </w:p>
        </w:tc>
        <w:tc>
          <w:tcPr>
            <w:tcW w:w="708"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709" w:type="dxa"/>
            <w:vAlign w:val="center"/>
          </w:tcPr>
          <w:p>
            <w:pPr>
              <w:jc w:val="center"/>
              <w:rPr>
                <w:rFonts w:hint="eastAsia"/>
              </w:rPr>
            </w:pPr>
            <w:r>
              <w:rPr>
                <w:rFonts w:hint="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bl>
    <w:p/>
    <w:p>
      <w:pPr>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eastAsia" w:ascii="黑体" w:hAnsi="黑体" w:eastAsia="黑体" w:cs="黑体"/>
          <w:b w:val="0"/>
          <w:bCs/>
          <w:sz w:val="32"/>
          <w:szCs w:val="32"/>
        </w:rPr>
      </w:pPr>
      <w:r>
        <w:rPr>
          <w:rFonts w:hint="eastAsia" w:ascii="黑体" w:hAnsi="黑体" w:eastAsia="黑体" w:cs="黑体"/>
          <w:b w:val="0"/>
          <w:bCs/>
          <w:sz w:val="32"/>
          <w:szCs w:val="32"/>
        </w:rPr>
        <w:t>四</w:t>
      </w:r>
      <w:r>
        <w:rPr>
          <w:rFonts w:hint="eastAsia" w:ascii="黑体" w:hAnsi="黑体" w:eastAsia="黑体" w:cs="黑体"/>
          <w:b w:val="0"/>
          <w:bCs/>
          <w:sz w:val="32"/>
          <w:szCs w:val="32"/>
          <w:lang w:eastAsia="zh-CN"/>
        </w:rPr>
        <w:t>、</w:t>
      </w:r>
      <w:r>
        <w:rPr>
          <w:rFonts w:hint="eastAsia" w:ascii="黑体" w:hAnsi="黑体" w:eastAsia="黑体" w:cs="黑体"/>
          <w:b w:val="0"/>
          <w:bCs/>
          <w:sz w:val="32"/>
          <w:szCs w:val="32"/>
        </w:rPr>
        <w:t>政府信息公开行政复议、行政诉讼情况</w:t>
      </w:r>
    </w:p>
    <w:tbl>
      <w:tblPr>
        <w:tblStyle w:val="5"/>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709"/>
        <w:gridCol w:w="682"/>
        <w:gridCol w:w="594"/>
        <w:gridCol w:w="709"/>
        <w:gridCol w:w="709"/>
        <w:gridCol w:w="709"/>
        <w:gridCol w:w="708"/>
        <w:gridCol w:w="567"/>
        <w:gridCol w:w="851"/>
        <w:gridCol w:w="650"/>
        <w:gridCol w:w="767"/>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trPr>
        <w:tc>
          <w:tcPr>
            <w:tcW w:w="3402" w:type="dxa"/>
            <w:gridSpan w:val="5"/>
            <w:vAlign w:val="center"/>
          </w:tcPr>
          <w:p>
            <w:pPr>
              <w:jc w:val="center"/>
              <w:rPr>
                <w:rFonts w:hint="eastAsia"/>
                <w:szCs w:val="21"/>
              </w:rPr>
            </w:pPr>
            <w:r>
              <w:rPr>
                <w:rFonts w:hint="eastAsia"/>
                <w:szCs w:val="21"/>
              </w:rPr>
              <w:t>行政复议</w:t>
            </w:r>
          </w:p>
        </w:tc>
        <w:tc>
          <w:tcPr>
            <w:tcW w:w="6804" w:type="dxa"/>
            <w:gridSpan w:val="10"/>
            <w:vAlign w:val="center"/>
          </w:tcPr>
          <w:p>
            <w:pPr>
              <w:jc w:val="center"/>
              <w:rPr>
                <w:rFonts w:hint="eastAsia"/>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709" w:type="dxa"/>
            <w:vMerge w:val="restart"/>
            <w:vAlign w:val="center"/>
          </w:tcPr>
          <w:p>
            <w:pPr>
              <w:jc w:val="center"/>
              <w:rPr>
                <w:rFonts w:hint="eastAsia"/>
                <w:szCs w:val="21"/>
              </w:rPr>
            </w:pPr>
            <w:r>
              <w:rPr>
                <w:rFonts w:hint="eastAsia"/>
                <w:szCs w:val="21"/>
              </w:rPr>
              <w:t>结果维持</w:t>
            </w:r>
          </w:p>
        </w:tc>
        <w:tc>
          <w:tcPr>
            <w:tcW w:w="708" w:type="dxa"/>
            <w:vMerge w:val="restart"/>
            <w:vAlign w:val="center"/>
          </w:tcPr>
          <w:p>
            <w:pPr>
              <w:jc w:val="center"/>
              <w:rPr>
                <w:rFonts w:hint="eastAsia"/>
                <w:szCs w:val="21"/>
              </w:rPr>
            </w:pPr>
            <w:r>
              <w:rPr>
                <w:rFonts w:hint="eastAsia"/>
                <w:szCs w:val="21"/>
              </w:rPr>
              <w:t>结果纠正</w:t>
            </w:r>
          </w:p>
        </w:tc>
        <w:tc>
          <w:tcPr>
            <w:tcW w:w="709" w:type="dxa"/>
            <w:vMerge w:val="restart"/>
            <w:vAlign w:val="center"/>
          </w:tcPr>
          <w:p>
            <w:pPr>
              <w:jc w:val="center"/>
              <w:rPr>
                <w:rFonts w:hint="eastAsia"/>
                <w:szCs w:val="21"/>
              </w:rPr>
            </w:pPr>
            <w:r>
              <w:rPr>
                <w:rFonts w:hint="eastAsia"/>
                <w:szCs w:val="21"/>
              </w:rPr>
              <w:t>其他结果</w:t>
            </w:r>
          </w:p>
        </w:tc>
        <w:tc>
          <w:tcPr>
            <w:tcW w:w="682" w:type="dxa"/>
            <w:vMerge w:val="restart"/>
            <w:vAlign w:val="center"/>
          </w:tcPr>
          <w:p>
            <w:pPr>
              <w:jc w:val="center"/>
              <w:rPr>
                <w:rFonts w:hint="eastAsia"/>
                <w:szCs w:val="21"/>
              </w:rPr>
            </w:pPr>
            <w:r>
              <w:rPr>
                <w:rFonts w:hint="eastAsia"/>
                <w:szCs w:val="21"/>
              </w:rPr>
              <w:t>尚未审结</w:t>
            </w:r>
          </w:p>
        </w:tc>
        <w:tc>
          <w:tcPr>
            <w:tcW w:w="594" w:type="dxa"/>
            <w:vMerge w:val="restart"/>
            <w:vAlign w:val="center"/>
          </w:tcPr>
          <w:p>
            <w:pPr>
              <w:jc w:val="center"/>
              <w:rPr>
                <w:rFonts w:hint="eastAsia"/>
                <w:szCs w:val="21"/>
              </w:rPr>
            </w:pPr>
            <w:r>
              <w:rPr>
                <w:rFonts w:hint="eastAsia"/>
                <w:szCs w:val="21"/>
              </w:rPr>
              <w:t>总计</w:t>
            </w:r>
          </w:p>
        </w:tc>
        <w:tc>
          <w:tcPr>
            <w:tcW w:w="3402" w:type="dxa"/>
            <w:gridSpan w:val="5"/>
            <w:vAlign w:val="center"/>
          </w:tcPr>
          <w:p>
            <w:pPr>
              <w:jc w:val="center"/>
              <w:rPr>
                <w:rFonts w:hint="eastAsia"/>
                <w:szCs w:val="21"/>
              </w:rPr>
            </w:pPr>
            <w:r>
              <w:rPr>
                <w:rFonts w:hint="eastAsia"/>
                <w:szCs w:val="21"/>
              </w:rPr>
              <w:t>未经复议直接起诉</w:t>
            </w:r>
          </w:p>
        </w:tc>
        <w:tc>
          <w:tcPr>
            <w:tcW w:w="3402" w:type="dxa"/>
            <w:gridSpan w:val="5"/>
            <w:vAlign w:val="center"/>
          </w:tcPr>
          <w:p>
            <w:pPr>
              <w:jc w:val="center"/>
              <w:rPr>
                <w:rFonts w:hint="eastAsia"/>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9" w:type="dxa"/>
            <w:vMerge w:val="continue"/>
            <w:vAlign w:val="center"/>
          </w:tcPr>
          <w:p>
            <w:pPr>
              <w:jc w:val="center"/>
              <w:rPr>
                <w:rFonts w:hint="eastAsia"/>
                <w:sz w:val="18"/>
                <w:szCs w:val="18"/>
              </w:rPr>
            </w:pPr>
          </w:p>
        </w:tc>
        <w:tc>
          <w:tcPr>
            <w:tcW w:w="708" w:type="dxa"/>
            <w:vMerge w:val="continue"/>
            <w:vAlign w:val="center"/>
          </w:tcPr>
          <w:p>
            <w:pPr>
              <w:jc w:val="center"/>
              <w:rPr>
                <w:rFonts w:hint="eastAsia"/>
                <w:sz w:val="18"/>
                <w:szCs w:val="18"/>
              </w:rPr>
            </w:pPr>
          </w:p>
        </w:tc>
        <w:tc>
          <w:tcPr>
            <w:tcW w:w="709" w:type="dxa"/>
            <w:vMerge w:val="continue"/>
            <w:vAlign w:val="center"/>
          </w:tcPr>
          <w:p>
            <w:pPr>
              <w:jc w:val="center"/>
              <w:rPr>
                <w:rFonts w:hint="eastAsia"/>
                <w:sz w:val="18"/>
                <w:szCs w:val="18"/>
              </w:rPr>
            </w:pPr>
          </w:p>
        </w:tc>
        <w:tc>
          <w:tcPr>
            <w:tcW w:w="682" w:type="dxa"/>
            <w:vMerge w:val="continue"/>
            <w:vAlign w:val="center"/>
          </w:tcPr>
          <w:p>
            <w:pPr>
              <w:jc w:val="center"/>
              <w:rPr>
                <w:rFonts w:hint="eastAsia"/>
                <w:szCs w:val="21"/>
              </w:rPr>
            </w:pPr>
          </w:p>
        </w:tc>
        <w:tc>
          <w:tcPr>
            <w:tcW w:w="594" w:type="dxa"/>
            <w:vMerge w:val="continue"/>
            <w:vAlign w:val="center"/>
          </w:tcPr>
          <w:p>
            <w:pPr>
              <w:jc w:val="center"/>
              <w:rPr>
                <w:rFonts w:hint="eastAsia"/>
                <w:szCs w:val="21"/>
              </w:rPr>
            </w:pPr>
          </w:p>
        </w:tc>
        <w:tc>
          <w:tcPr>
            <w:tcW w:w="709" w:type="dxa"/>
            <w:vAlign w:val="center"/>
          </w:tcPr>
          <w:p>
            <w:pPr>
              <w:jc w:val="center"/>
              <w:rPr>
                <w:rFonts w:hint="eastAsia"/>
                <w:szCs w:val="21"/>
              </w:rPr>
            </w:pPr>
            <w:r>
              <w:rPr>
                <w:rFonts w:hint="eastAsia"/>
                <w:szCs w:val="21"/>
              </w:rPr>
              <w:t>结果维持</w:t>
            </w:r>
          </w:p>
        </w:tc>
        <w:tc>
          <w:tcPr>
            <w:tcW w:w="709" w:type="dxa"/>
            <w:vAlign w:val="center"/>
          </w:tcPr>
          <w:p>
            <w:pPr>
              <w:jc w:val="center"/>
              <w:rPr>
                <w:rFonts w:hint="eastAsia"/>
                <w:szCs w:val="21"/>
              </w:rPr>
            </w:pPr>
            <w:r>
              <w:rPr>
                <w:rFonts w:hint="eastAsia"/>
                <w:szCs w:val="21"/>
              </w:rPr>
              <w:t>结果纠正</w:t>
            </w:r>
          </w:p>
        </w:tc>
        <w:tc>
          <w:tcPr>
            <w:tcW w:w="709" w:type="dxa"/>
            <w:vAlign w:val="center"/>
          </w:tcPr>
          <w:p>
            <w:pPr>
              <w:jc w:val="center"/>
              <w:rPr>
                <w:rFonts w:hint="eastAsia"/>
                <w:szCs w:val="21"/>
              </w:rPr>
            </w:pPr>
            <w:r>
              <w:rPr>
                <w:rFonts w:hint="eastAsia"/>
                <w:szCs w:val="21"/>
              </w:rPr>
              <w:t>其他结果</w:t>
            </w:r>
          </w:p>
        </w:tc>
        <w:tc>
          <w:tcPr>
            <w:tcW w:w="708" w:type="dxa"/>
            <w:vAlign w:val="center"/>
          </w:tcPr>
          <w:p>
            <w:pPr>
              <w:jc w:val="center"/>
              <w:rPr>
                <w:rFonts w:hint="eastAsia"/>
                <w:szCs w:val="21"/>
              </w:rPr>
            </w:pPr>
            <w:r>
              <w:rPr>
                <w:rFonts w:hint="eastAsia"/>
                <w:szCs w:val="21"/>
              </w:rPr>
              <w:t>尚未审结</w:t>
            </w:r>
          </w:p>
        </w:tc>
        <w:tc>
          <w:tcPr>
            <w:tcW w:w="567" w:type="dxa"/>
            <w:vAlign w:val="center"/>
          </w:tcPr>
          <w:p>
            <w:pPr>
              <w:jc w:val="center"/>
              <w:rPr>
                <w:rFonts w:hint="eastAsia"/>
                <w:szCs w:val="21"/>
              </w:rPr>
            </w:pPr>
            <w:r>
              <w:rPr>
                <w:rFonts w:hint="eastAsia"/>
                <w:szCs w:val="21"/>
              </w:rPr>
              <w:t>总计</w:t>
            </w:r>
          </w:p>
        </w:tc>
        <w:tc>
          <w:tcPr>
            <w:tcW w:w="851" w:type="dxa"/>
            <w:vAlign w:val="center"/>
          </w:tcPr>
          <w:p>
            <w:pPr>
              <w:jc w:val="center"/>
              <w:rPr>
                <w:rFonts w:hint="eastAsia"/>
                <w:szCs w:val="21"/>
              </w:rPr>
            </w:pPr>
            <w:r>
              <w:rPr>
                <w:rFonts w:hint="eastAsia"/>
                <w:szCs w:val="21"/>
              </w:rPr>
              <w:t>结果维持</w:t>
            </w:r>
          </w:p>
        </w:tc>
        <w:tc>
          <w:tcPr>
            <w:tcW w:w="650" w:type="dxa"/>
            <w:vAlign w:val="center"/>
          </w:tcPr>
          <w:p>
            <w:pPr>
              <w:jc w:val="center"/>
              <w:rPr>
                <w:rFonts w:hint="eastAsia"/>
                <w:szCs w:val="21"/>
              </w:rPr>
            </w:pPr>
            <w:r>
              <w:rPr>
                <w:rFonts w:hint="eastAsia"/>
                <w:szCs w:val="21"/>
              </w:rPr>
              <w:t>结果纠正</w:t>
            </w:r>
          </w:p>
        </w:tc>
        <w:tc>
          <w:tcPr>
            <w:tcW w:w="767" w:type="dxa"/>
            <w:vAlign w:val="center"/>
          </w:tcPr>
          <w:p>
            <w:pPr>
              <w:jc w:val="center"/>
              <w:rPr>
                <w:rFonts w:hint="eastAsia"/>
                <w:szCs w:val="21"/>
              </w:rPr>
            </w:pPr>
            <w:r>
              <w:rPr>
                <w:rFonts w:hint="eastAsia"/>
                <w:szCs w:val="21"/>
              </w:rPr>
              <w:t>其他结果</w:t>
            </w:r>
          </w:p>
        </w:tc>
        <w:tc>
          <w:tcPr>
            <w:tcW w:w="709" w:type="dxa"/>
            <w:vAlign w:val="center"/>
          </w:tcPr>
          <w:p>
            <w:pPr>
              <w:jc w:val="center"/>
              <w:rPr>
                <w:rFonts w:hint="eastAsia"/>
                <w:szCs w:val="21"/>
              </w:rPr>
            </w:pPr>
            <w:r>
              <w:rPr>
                <w:rFonts w:hint="eastAsia"/>
                <w:szCs w:val="21"/>
              </w:rPr>
              <w:t>尚未审结</w:t>
            </w:r>
          </w:p>
        </w:tc>
        <w:tc>
          <w:tcPr>
            <w:tcW w:w="425" w:type="dxa"/>
            <w:vAlign w:val="center"/>
          </w:tcPr>
          <w:p>
            <w:pPr>
              <w:jc w:val="cente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trPr>
        <w:tc>
          <w:tcPr>
            <w:tcW w:w="709"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708"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709" w:type="dxa"/>
            <w:vAlign w:val="center"/>
          </w:tcPr>
          <w:p>
            <w:pPr>
              <w:jc w:val="center"/>
              <w:rPr>
                <w:rFonts w:hint="eastAsia" w:eastAsiaTheme="minorEastAsia"/>
                <w:sz w:val="18"/>
                <w:szCs w:val="18"/>
                <w:lang w:val="en-US" w:eastAsia="zh-CN"/>
              </w:rPr>
            </w:pPr>
            <w:r>
              <w:rPr>
                <w:rFonts w:hint="eastAsia"/>
                <w:sz w:val="18"/>
                <w:szCs w:val="18"/>
                <w:lang w:val="en-US" w:eastAsia="zh-CN"/>
              </w:rPr>
              <w:t>0</w:t>
            </w:r>
          </w:p>
        </w:tc>
        <w:tc>
          <w:tcPr>
            <w:tcW w:w="682" w:type="dxa"/>
            <w:vAlign w:val="center"/>
          </w:tcPr>
          <w:p>
            <w:pPr>
              <w:jc w:val="center"/>
              <w:rPr>
                <w:rFonts w:hint="eastAsia" w:eastAsiaTheme="minorEastAsia"/>
                <w:szCs w:val="21"/>
                <w:lang w:val="en-US" w:eastAsia="zh-CN"/>
              </w:rPr>
            </w:pPr>
            <w:r>
              <w:rPr>
                <w:rFonts w:hint="eastAsia"/>
                <w:szCs w:val="21"/>
                <w:lang w:val="en-US" w:eastAsia="zh-CN"/>
              </w:rPr>
              <w:t>0</w:t>
            </w:r>
          </w:p>
        </w:tc>
        <w:tc>
          <w:tcPr>
            <w:tcW w:w="594"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szCs w:val="21"/>
                <w:lang w:val="en-US" w:eastAsia="zh-CN"/>
              </w:rPr>
              <w:t>0</w:t>
            </w:r>
          </w:p>
        </w:tc>
        <w:tc>
          <w:tcPr>
            <w:tcW w:w="567" w:type="dxa"/>
            <w:vAlign w:val="center"/>
          </w:tcPr>
          <w:p>
            <w:pPr>
              <w:jc w:val="center"/>
              <w:rPr>
                <w:rFonts w:hint="eastAsia" w:eastAsiaTheme="minorEastAsia"/>
                <w:szCs w:val="21"/>
                <w:lang w:val="en-US" w:eastAsia="zh-CN"/>
              </w:rPr>
            </w:pPr>
            <w:r>
              <w:rPr>
                <w:rFonts w:hint="eastAsia"/>
                <w:szCs w:val="21"/>
                <w:lang w:val="en-US" w:eastAsia="zh-CN"/>
              </w:rPr>
              <w:t>0</w:t>
            </w:r>
          </w:p>
        </w:tc>
        <w:tc>
          <w:tcPr>
            <w:tcW w:w="851" w:type="dxa"/>
            <w:vAlign w:val="center"/>
          </w:tcPr>
          <w:p>
            <w:pPr>
              <w:jc w:val="center"/>
              <w:rPr>
                <w:rFonts w:hint="eastAsia" w:eastAsiaTheme="minorEastAsia"/>
                <w:szCs w:val="21"/>
                <w:lang w:val="en-US" w:eastAsia="zh-CN"/>
              </w:rPr>
            </w:pPr>
            <w:r>
              <w:rPr>
                <w:rFonts w:hint="eastAsia"/>
                <w:szCs w:val="21"/>
                <w:lang w:val="en-US" w:eastAsia="zh-CN"/>
              </w:rPr>
              <w:t>0</w:t>
            </w:r>
          </w:p>
        </w:tc>
        <w:tc>
          <w:tcPr>
            <w:tcW w:w="650" w:type="dxa"/>
            <w:vAlign w:val="center"/>
          </w:tcPr>
          <w:p>
            <w:pPr>
              <w:jc w:val="center"/>
              <w:rPr>
                <w:rFonts w:hint="eastAsia" w:eastAsiaTheme="minorEastAsia"/>
                <w:szCs w:val="21"/>
                <w:lang w:val="en-US" w:eastAsia="zh-CN"/>
              </w:rPr>
            </w:pPr>
            <w:r>
              <w:rPr>
                <w:rFonts w:hint="eastAsia"/>
                <w:szCs w:val="21"/>
                <w:lang w:val="en-US" w:eastAsia="zh-CN"/>
              </w:rPr>
              <w:t>0</w:t>
            </w:r>
          </w:p>
        </w:tc>
        <w:tc>
          <w:tcPr>
            <w:tcW w:w="767" w:type="dxa"/>
            <w:vAlign w:val="center"/>
          </w:tcPr>
          <w:p>
            <w:pPr>
              <w:jc w:val="center"/>
              <w:rPr>
                <w:rFonts w:hint="eastAsia" w:eastAsiaTheme="minorEastAsia"/>
                <w:szCs w:val="21"/>
                <w:lang w:val="en-US" w:eastAsia="zh-CN"/>
              </w:rPr>
            </w:pPr>
            <w:r>
              <w:rPr>
                <w:rFonts w:hint="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szCs w:val="21"/>
                <w:lang w:val="en-US" w:eastAsia="zh-CN"/>
              </w:rPr>
              <w:t>0</w:t>
            </w:r>
          </w:p>
        </w:tc>
        <w:tc>
          <w:tcPr>
            <w:tcW w:w="425" w:type="dxa"/>
            <w:vAlign w:val="center"/>
          </w:tcPr>
          <w:p>
            <w:pPr>
              <w:jc w:val="center"/>
              <w:rPr>
                <w:rFonts w:hint="eastAsia" w:eastAsiaTheme="minorEastAsia"/>
                <w:szCs w:val="21"/>
                <w:lang w:val="en-US" w:eastAsia="zh-CN"/>
              </w:rPr>
            </w:pPr>
            <w:r>
              <w:rPr>
                <w:rFonts w:hint="eastAsia"/>
                <w:szCs w:val="21"/>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color w:val="auto"/>
          <w:sz w:val="32"/>
          <w:szCs w:val="32"/>
        </w:rPr>
      </w:pPr>
      <w:r>
        <w:rPr>
          <w:rFonts w:hint="eastAsia" w:ascii="黑体" w:hAnsi="黑体" w:eastAsia="黑体" w:cs="黑体"/>
          <w:b w:val="0"/>
          <w:bCs/>
          <w:color w:val="auto"/>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2020年，我局政府信息公开工作虽然取得了一定成绩，但仍然存在一些问题，比如信息公开广度、深度和时效性与人民群众的需求相比还有差距；信息公开形式还不够丰富，文字形式公开较多，图片、视频形式公开较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2021年，我局将牢固树立坚持“公开为常态、不公开为例外”理念，深化公开内容、丰富公开形式，想群众之所想、干群众之所盼，以实际行动满足人民群众日益增长的政府信息公开需求。一是重点抓好政策解读、自然灾害预警、应急响应等方面信息公开工作，普及防灾减灾、安全生产相关知识，提升全社会安全防范能力。二是充分发挥门户网站、微博微信的主渠道作用，运用数字解析、图表解析、音频视频等通俗易懂、群众喜闻乐见的形式，进一步增强政府信息公开的知晓度和影响力。三是加大培训力度。通过举办培训、组织讲座、专家点评等多种形式，不断提高全系统政务公开的能力和水平，增强政策把握、解疑释惑和舆论回应引导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color w:val="auto"/>
          <w:kern w:val="0"/>
          <w:sz w:val="32"/>
          <w:szCs w:val="32"/>
          <w:shd w:val="clear" w:color="auto" w:fill="FFFFFF"/>
          <w:lang w:val="en-US" w:eastAsia="zh-CN" w:bidi="ar"/>
        </w:rPr>
      </w:pPr>
      <w:r>
        <w:rPr>
          <w:rFonts w:hint="eastAsia" w:ascii="黑体" w:hAnsi="黑体" w:eastAsia="黑体" w:cs="黑体"/>
          <w:color w:val="auto"/>
          <w:kern w:val="0"/>
          <w:sz w:val="32"/>
          <w:szCs w:val="32"/>
          <w:shd w:val="clear" w:color="auto" w:fill="FFFFFF"/>
          <w:lang w:val="en-US" w:eastAsia="zh-CN" w:bidi="ar"/>
        </w:rPr>
        <w:t>六、其他需要报告的事项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kern w:val="0"/>
          <w:sz w:val="32"/>
          <w:szCs w:val="32"/>
          <w:shd w:val="clear" w:color="auto" w:fill="FFFFFF"/>
          <w:lang w:val="en-US" w:eastAsia="zh-CN" w:bidi="ar"/>
        </w:rPr>
      </w:pP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eastAsia"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淄博市应急管理局</w:t>
      </w:r>
    </w:p>
    <w:p>
      <w:pPr>
        <w:keepNext w:val="0"/>
        <w:keepLines w:val="0"/>
        <w:pageBreakBefore w:val="0"/>
        <w:widowControl w:val="0"/>
        <w:kinsoku/>
        <w:wordWrap/>
        <w:overflowPunct/>
        <w:topLinePunct w:val="0"/>
        <w:autoSpaceDE/>
        <w:autoSpaceDN/>
        <w:bidi w:val="0"/>
        <w:adjustRightInd/>
        <w:snapToGrid/>
        <w:spacing w:line="560" w:lineRule="exact"/>
        <w:ind w:firstLine="5120" w:firstLineChars="1600"/>
        <w:textAlignment w:val="auto"/>
        <w:rPr>
          <w:rFonts w:hint="default" w:ascii="仿宋_GB2312" w:hAnsi="仿宋_GB2312" w:eastAsia="仿宋_GB2312" w:cs="仿宋_GB2312"/>
          <w:color w:val="auto"/>
          <w:kern w:val="0"/>
          <w:sz w:val="32"/>
          <w:szCs w:val="32"/>
          <w:shd w:val="clear" w:color="auto" w:fill="FFFFFF"/>
          <w:lang w:val="en-US" w:eastAsia="zh-CN" w:bidi="ar"/>
        </w:rPr>
      </w:pPr>
      <w:r>
        <w:rPr>
          <w:rFonts w:hint="eastAsia" w:ascii="仿宋_GB2312" w:hAnsi="仿宋_GB2312" w:eastAsia="仿宋_GB2312" w:cs="仿宋_GB2312"/>
          <w:color w:val="auto"/>
          <w:kern w:val="0"/>
          <w:sz w:val="32"/>
          <w:szCs w:val="32"/>
          <w:shd w:val="clear" w:color="auto" w:fill="FFFFFF"/>
          <w:lang w:val="en-US" w:eastAsia="zh-CN" w:bidi="ar"/>
        </w:rPr>
        <w:t>2021年1月27日</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58"/>
    <w:rsid w:val="00024810"/>
    <w:rsid w:val="000414C6"/>
    <w:rsid w:val="00087FF0"/>
    <w:rsid w:val="00216261"/>
    <w:rsid w:val="00270C0E"/>
    <w:rsid w:val="002A188B"/>
    <w:rsid w:val="002B6F68"/>
    <w:rsid w:val="003D7EB2"/>
    <w:rsid w:val="00405DB6"/>
    <w:rsid w:val="00420F86"/>
    <w:rsid w:val="00481ED7"/>
    <w:rsid w:val="004D2882"/>
    <w:rsid w:val="00697EE4"/>
    <w:rsid w:val="00714451"/>
    <w:rsid w:val="00717EE3"/>
    <w:rsid w:val="00732D81"/>
    <w:rsid w:val="00733F31"/>
    <w:rsid w:val="00741A40"/>
    <w:rsid w:val="00746739"/>
    <w:rsid w:val="007611C0"/>
    <w:rsid w:val="007F43FC"/>
    <w:rsid w:val="00892DC4"/>
    <w:rsid w:val="00920A8C"/>
    <w:rsid w:val="00935E77"/>
    <w:rsid w:val="0096093C"/>
    <w:rsid w:val="00A93492"/>
    <w:rsid w:val="00AC222F"/>
    <w:rsid w:val="00AD49B5"/>
    <w:rsid w:val="00BF42A9"/>
    <w:rsid w:val="00C61A42"/>
    <w:rsid w:val="00C762CA"/>
    <w:rsid w:val="00CA24FE"/>
    <w:rsid w:val="00D201BD"/>
    <w:rsid w:val="00D33F3A"/>
    <w:rsid w:val="00D7673F"/>
    <w:rsid w:val="00E03F11"/>
    <w:rsid w:val="00E04258"/>
    <w:rsid w:val="00E82A61"/>
    <w:rsid w:val="00EA3993"/>
    <w:rsid w:val="00FA3378"/>
    <w:rsid w:val="00FE3091"/>
    <w:rsid w:val="011232E6"/>
    <w:rsid w:val="0465700B"/>
    <w:rsid w:val="0B5C2073"/>
    <w:rsid w:val="0E4F75A0"/>
    <w:rsid w:val="1AA849D7"/>
    <w:rsid w:val="1AC8211C"/>
    <w:rsid w:val="2295152F"/>
    <w:rsid w:val="27F871F4"/>
    <w:rsid w:val="2BFD7E04"/>
    <w:rsid w:val="2FF9337F"/>
    <w:rsid w:val="32AF6D07"/>
    <w:rsid w:val="3503294C"/>
    <w:rsid w:val="46B3084F"/>
    <w:rsid w:val="47057B74"/>
    <w:rsid w:val="491923BC"/>
    <w:rsid w:val="4DE93206"/>
    <w:rsid w:val="4E3B7DA4"/>
    <w:rsid w:val="5027637C"/>
    <w:rsid w:val="54F22339"/>
    <w:rsid w:val="5520059E"/>
    <w:rsid w:val="58C21330"/>
    <w:rsid w:val="5AB02A79"/>
    <w:rsid w:val="5B384768"/>
    <w:rsid w:val="5C3E66CE"/>
    <w:rsid w:val="64193D33"/>
    <w:rsid w:val="64294A83"/>
    <w:rsid w:val="65EF4439"/>
    <w:rsid w:val="67F67B58"/>
    <w:rsid w:val="71672DBA"/>
    <w:rsid w:val="73BF22E6"/>
    <w:rsid w:val="76E92418"/>
    <w:rsid w:val="7B1D2D13"/>
    <w:rsid w:val="7DBB2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Web)"/>
    <w:basedOn w:val="1"/>
    <w:qFormat/>
    <w:uiPriority w:val="0"/>
    <w:pPr>
      <w:spacing w:before="100" w:beforeLines="0" w:beforeAutospacing="1" w:after="100" w:afterLines="0" w:afterAutospacing="1"/>
      <w:ind w:left="0" w:right="0"/>
      <w:jc w:val="left"/>
    </w:pPr>
    <w:rPr>
      <w:kern w:val="0"/>
      <w:sz w:val="24"/>
      <w:lang w:val="en-US" w:eastAsia="zh-CN" w:bidi="ar"/>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172</Words>
  <Characters>984</Characters>
  <Lines>8</Lines>
  <Paragraphs>2</Paragraphs>
  <TotalTime>7</TotalTime>
  <ScaleCrop>false</ScaleCrop>
  <LinksUpToDate>false</LinksUpToDate>
  <CharactersWithSpaces>1154</CharactersWithSpaces>
  <Application>WPS Office_10.8.2.6949_F1E327BC-269C-435d-A152-05C5408002CA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2020-01-06T10:32:00Z</dcterms:created>
  <dc:creator>China</dc:creator>
  <cp:lastModifiedBy>l</cp:lastModifiedBy>
  <cp:lastPrinted>2020-01-14T06:50:00Z</cp:lastPrinted>
  <dcterms:modified xsi:type="dcterms:W3CDTF">2021-02-18T02:24:30Z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2052-10.8.2.6949</vt:lpwstr>
  </property>
</Properties>
</file>