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长城小标宋体" w:hAnsi="长城小标宋体" w:eastAsia="长城小标宋体" w:cs="长城小标宋体"/>
          <w:b/>
          <w:bCs/>
          <w:sz w:val="44"/>
          <w:szCs w:val="44"/>
        </w:rPr>
      </w:pPr>
      <w:bookmarkStart w:id="2" w:name="_GoBack"/>
      <w:bookmarkEnd w:id="2"/>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长城小标宋体" w:hAnsi="长城小标宋体" w:eastAsia="长城小标宋体" w:cs="长城小标宋体"/>
          <w:b/>
          <w:bCs/>
          <w:sz w:val="44"/>
          <w:szCs w:val="44"/>
        </w:rPr>
      </w:pP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长城小标宋体" w:hAnsi="长城小标宋体" w:eastAsia="长城小标宋体" w:cs="长城小标宋体"/>
          <w:b/>
          <w:bCs/>
          <w:sz w:val="44"/>
          <w:szCs w:val="44"/>
        </w:rPr>
      </w:pPr>
    </w:p>
    <w:p>
      <w:pPr>
        <w:keepNext w:val="0"/>
        <w:keepLines w:val="0"/>
        <w:pageBreakBefore w:val="0"/>
        <w:widowControl/>
        <w:tabs>
          <w:tab w:val="left" w:pos="5154"/>
        </w:tabs>
        <w:kinsoku/>
        <w:wordWrap/>
        <w:overflowPunct/>
        <w:topLinePunct w:val="0"/>
        <w:autoSpaceDE/>
        <w:autoSpaceDN/>
        <w:bidi w:val="0"/>
        <w:adjustRightInd/>
        <w:snapToGrid/>
        <w:spacing w:before="0" w:after="0" w:line="560" w:lineRule="exact"/>
        <w:ind w:left="0" w:leftChars="0" w:right="0" w:rightChars="0" w:firstLine="0" w:firstLineChars="0"/>
        <w:jc w:val="left"/>
        <w:textAlignment w:val="auto"/>
        <w:outlineLvl w:val="9"/>
        <w:rPr>
          <w:rFonts w:hint="eastAsia" w:ascii="长城小标宋体" w:hAnsi="长城小标宋体" w:eastAsia="长城小标宋体" w:cs="长城小标宋体"/>
          <w:b/>
          <w:bCs/>
          <w:sz w:val="44"/>
          <w:szCs w:val="44"/>
          <w:lang w:eastAsia="zh-CN"/>
        </w:rPr>
      </w:pPr>
      <w:r>
        <w:rPr>
          <w:rFonts w:hint="eastAsia" w:ascii="长城小标宋体" w:hAnsi="长城小标宋体" w:eastAsia="长城小标宋体" w:cs="长城小标宋体"/>
          <w:b/>
          <w:bCs/>
          <w:sz w:val="44"/>
          <w:szCs w:val="44"/>
          <w:lang w:eastAsia="zh-CN"/>
        </w:rPr>
        <w:tab/>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长城小标宋体" w:hAnsi="长城小标宋体" w:eastAsia="长城小标宋体" w:cs="长城小标宋体"/>
          <w:b/>
          <w:bCs/>
          <w:sz w:val="44"/>
          <w:szCs w:val="44"/>
        </w:rPr>
      </w:pP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淄</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lang w:eastAsia="zh-CN"/>
        </w:rPr>
        <w:t>字</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80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outlineLvl w:val="9"/>
        <w:rPr>
          <w:rFonts w:hint="eastAsia" w:ascii="长城小标宋体" w:hAnsi="长城小标宋体" w:eastAsia="长城小标宋体" w:cs="长城小标宋体"/>
          <w:b/>
          <w:bCs/>
          <w:sz w:val="44"/>
          <w:szCs w:val="44"/>
        </w:rPr>
      </w:pP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rFonts w:hint="eastAsia" w:ascii="长城小标宋体" w:hAnsi="长城小标宋体" w:eastAsia="长城小标宋体" w:cs="长城小标宋体"/>
          <w:b/>
          <w:bCs/>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关于印发《</w:t>
      </w:r>
      <w:bookmarkStart w:id="0" w:name="_Hlk45790970"/>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淄博市应急管理局行政审批“市县同权”改革实施方案</w:t>
      </w:r>
      <w:bookmarkEnd w:id="0"/>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》的通知</w:t>
      </w:r>
    </w:p>
    <w:p>
      <w:pPr>
        <w:keepNext w:val="0"/>
        <w:keepLines w:val="0"/>
        <w:pageBreakBefore w:val="0"/>
        <w:kinsoku/>
        <w:wordWrap/>
        <w:overflowPunct/>
        <w:topLinePunct w:val="0"/>
        <w:autoSpaceDE/>
        <w:autoSpaceDN/>
        <w:bidi w:val="0"/>
        <w:adjustRightInd/>
        <w:snapToGrid/>
        <w:spacing w:line="560" w:lineRule="exact"/>
        <w:jc w:val="center"/>
        <w:rPr>
          <w:rFonts w:ascii="黑体" w:hAnsi="黑体" w:eastAsia="黑体"/>
          <w:b/>
          <w:bCs/>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各区县应急管理局、高新区安监局、高新区行政审批局、经开区应急局、文昌湖区安环局，局机关各科室、安监支队：</w:t>
      </w:r>
    </w:p>
    <w:p>
      <w:pPr>
        <w:keepNext w:val="0"/>
        <w:keepLines w:val="0"/>
        <w:pageBreakBefore w:val="0"/>
        <w:kinsoku/>
        <w:wordWrap/>
        <w:overflowPunct/>
        <w:topLinePunct w:val="0"/>
        <w:autoSpaceDE/>
        <w:autoSpaceDN/>
        <w:bidi w:val="0"/>
        <w:adjustRightInd/>
        <w:snapToGrid/>
        <w:spacing w:line="560" w:lineRule="exact"/>
        <w:ind w:firstLine="645"/>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现将《淄博市应急管理局行政审批“市县同权”改革实施方案》印发给你们，请认真组织实施。</w:t>
      </w:r>
    </w:p>
    <w:p>
      <w:pPr>
        <w:keepNext w:val="0"/>
        <w:keepLines w:val="0"/>
        <w:pageBreakBefore w:val="0"/>
        <w:kinsoku/>
        <w:wordWrap/>
        <w:overflowPunct/>
        <w:topLinePunct w:val="0"/>
        <w:autoSpaceDE/>
        <w:autoSpaceDN/>
        <w:bidi w:val="0"/>
        <w:adjustRightInd/>
        <w:snapToGrid/>
        <w:spacing w:line="560" w:lineRule="exact"/>
        <w:ind w:firstLine="645"/>
        <w:jc w:val="left"/>
        <w:rPr>
          <w:rFonts w:ascii="仿宋_GB2312" w:hAnsi="黑体"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5"/>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ind w:firstLine="5120" w:firstLineChars="1600"/>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淄博市应急管理局</w:t>
      </w:r>
    </w:p>
    <w:p>
      <w:pPr>
        <w:keepNext w:val="0"/>
        <w:keepLines w:val="0"/>
        <w:pageBreakBefore w:val="0"/>
        <w:kinsoku/>
        <w:wordWrap/>
        <w:overflowPunct/>
        <w:topLinePunct w:val="0"/>
        <w:autoSpaceDE/>
        <w:autoSpaceDN/>
        <w:bidi w:val="0"/>
        <w:adjustRightInd/>
        <w:snapToGrid/>
        <w:spacing w:line="560" w:lineRule="exact"/>
        <w:ind w:firstLine="5120" w:firstLineChars="1600"/>
        <w:jc w:val="left"/>
        <w:rPr>
          <w:rFonts w:ascii="仿宋_GB2312" w:hAnsi="黑体" w:eastAsia="仿宋_GB2312"/>
          <w:color w:val="000000" w:themeColor="text1"/>
          <w:sz w:val="32"/>
          <w:szCs w:val="32"/>
          <w14:textFill>
            <w14:solidFill>
              <w14:schemeClr w14:val="tx1"/>
            </w14:solidFill>
          </w14:textFill>
        </w:rPr>
      </w:pPr>
      <w:r>
        <w:rPr>
          <w:rFonts w:ascii="仿宋_GB2312" w:hAnsi="黑体" w:eastAsia="仿宋_GB2312"/>
          <w:color w:val="000000" w:themeColor="text1"/>
          <w:sz w:val="32"/>
          <w:szCs w:val="32"/>
          <w14:textFill>
            <w14:solidFill>
              <w14:schemeClr w14:val="tx1"/>
            </w14:solidFill>
          </w14:textFill>
        </w:rPr>
        <w:t>2020年</w:t>
      </w:r>
      <w:r>
        <w:rPr>
          <w:rFonts w:hint="eastAsia" w:ascii="仿宋_GB2312" w:hAnsi="黑体" w:eastAsia="仿宋_GB2312"/>
          <w:color w:val="000000" w:themeColor="text1"/>
          <w:sz w:val="32"/>
          <w:szCs w:val="32"/>
          <w14:textFill>
            <w14:solidFill>
              <w14:schemeClr w14:val="tx1"/>
            </w14:solidFill>
          </w14:textFill>
        </w:rPr>
        <w:t>7</w:t>
      </w:r>
      <w:r>
        <w:rPr>
          <w:rFonts w:ascii="仿宋_GB2312" w:hAnsi="黑体" w:eastAsia="仿宋_GB2312"/>
          <w:color w:val="000000" w:themeColor="text1"/>
          <w:sz w:val="32"/>
          <w:szCs w:val="32"/>
          <w14:textFill>
            <w14:solidFill>
              <w14:schemeClr w14:val="tx1"/>
            </w14:solidFill>
          </w14:textFill>
        </w:rPr>
        <w:t>月</w:t>
      </w:r>
      <w:r>
        <w:rPr>
          <w:rFonts w:hint="eastAsia" w:ascii="仿宋_GB2312" w:hAnsi="黑体" w:eastAsia="仿宋_GB2312"/>
          <w:color w:val="000000" w:themeColor="text1"/>
          <w:sz w:val="32"/>
          <w:szCs w:val="32"/>
          <w:lang w:val="en-US" w:eastAsia="zh-CN"/>
          <w14:textFill>
            <w14:solidFill>
              <w14:schemeClr w14:val="tx1"/>
            </w14:solidFill>
          </w14:textFill>
        </w:rPr>
        <w:t>21</w:t>
      </w:r>
      <w:r>
        <w:rPr>
          <w:rFonts w:ascii="仿宋_GB2312" w:hAnsi="黑体" w:eastAsia="仿宋_GB2312"/>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60" w:lineRule="exact"/>
        <w:jc w:val="center"/>
        <w:rPr>
          <w:rFonts w:ascii="黑体" w:hAnsi="黑体" w:eastAsia="黑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Fonts w:ascii="黑体" w:hAnsi="黑体" w:eastAsia="黑体"/>
          <w:b/>
          <w:bCs/>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Fonts w:ascii="黑体" w:hAnsi="黑体" w:eastAsia="黑体"/>
          <w:b/>
          <w:bCs/>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b/>
          <w:bCs/>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淄博市应急管理局行政审批“市县同权”改革实施方案</w:t>
      </w:r>
    </w:p>
    <w:p>
      <w:pPr>
        <w:keepNext w:val="0"/>
        <w:keepLines w:val="0"/>
        <w:pageBreakBefore w:val="0"/>
        <w:kinsoku/>
        <w:wordWrap/>
        <w:overflowPunct/>
        <w:topLinePunct w:val="0"/>
        <w:autoSpaceDE/>
        <w:autoSpaceDN/>
        <w:bidi w:val="0"/>
        <w:adjustRightInd/>
        <w:snapToGrid/>
        <w:spacing w:line="560" w:lineRule="exact"/>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根据《淄博市人民政府关于推进“市县同权”改革下放一批行政许可事项的通知》（淄政字</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020</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号）要求，结合我市应急管理工作实际，制定本实施方案。</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全面贯彻落实国家、省、市关于行政审批制度改革的总体部署和要求，深入推进“一窗受理、一次办好”改革，按照简政放权、方便群众的要求，结合我市实际，推行应急管理行政审批“市县同权”工作，提高全市应急管理行政审批效率。</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二、基本原则</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（一）合法合理原则。</w:t>
      </w:r>
      <w:r>
        <w:rPr>
          <w:rFonts w:hint="eastAsia" w:ascii="仿宋_GB2312" w:eastAsia="仿宋_GB2312"/>
          <w:color w:val="000000" w:themeColor="text1"/>
          <w:sz w:val="32"/>
          <w:szCs w:val="32"/>
          <w14:textFill>
            <w14:solidFill>
              <w14:schemeClr w14:val="tx1"/>
            </w14:solidFill>
          </w14:textFill>
        </w:rPr>
        <w:t>依法推进简政放权工作，合法确定市县两级应急管理行政审批权限。</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（二）便民利民原则。</w:t>
      </w:r>
      <w:r>
        <w:rPr>
          <w:rFonts w:hint="eastAsia" w:ascii="仿宋_GB2312" w:eastAsia="仿宋_GB2312"/>
          <w:color w:val="000000" w:themeColor="text1"/>
          <w:sz w:val="32"/>
          <w:szCs w:val="32"/>
          <w14:textFill>
            <w14:solidFill>
              <w14:schemeClr w14:val="tx1"/>
            </w14:solidFill>
          </w14:textFill>
        </w:rPr>
        <w:t>方便人民群众就近办理，各区县应急管理部门对承接办理的行政审批事项，应提供优质、高效、便捷服务。</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（三）权责一致原则。</w:t>
      </w:r>
      <w:r>
        <w:rPr>
          <w:rFonts w:hint="eastAsia" w:ascii="仿宋_GB2312" w:eastAsia="仿宋_GB2312"/>
          <w:color w:val="000000" w:themeColor="text1"/>
          <w:sz w:val="32"/>
          <w:szCs w:val="32"/>
          <w14:textFill>
            <w14:solidFill>
              <w14:schemeClr w14:val="tx1"/>
            </w14:solidFill>
          </w14:textFill>
        </w:rPr>
        <w:t>行政审批权力和职责相对应，各级应急管理部门对承接办理的行政审批事项，应承担相应的责任。</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三、下放方式和范围</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（一）直接下放。</w:t>
      </w:r>
      <w:r>
        <w:rPr>
          <w:rFonts w:hint="eastAsia" w:ascii="仿宋_GB2312" w:eastAsia="仿宋_GB2312"/>
          <w:color w:val="000000" w:themeColor="text1"/>
          <w:sz w:val="32"/>
          <w:szCs w:val="32"/>
          <w14:textFill>
            <w14:solidFill>
              <w14:schemeClr w14:val="tx1"/>
            </w14:solidFill>
          </w14:textFill>
        </w:rPr>
        <w:t>以下事项直接下放到县级应急管理部门实施，各区县应急管理部门负责本行政区域内相关许可事项办理。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非煤矿山建设项目安全设施设计审查。</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金属冶炼建设项目安全设施设计审查。</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（二）下放实质性审核权。</w:t>
      </w:r>
      <w:r>
        <w:rPr>
          <w:rFonts w:hint="eastAsia" w:ascii="仿宋_GB2312" w:eastAsia="仿宋_GB2312"/>
          <w:color w:val="000000" w:themeColor="text1"/>
          <w:sz w:val="32"/>
          <w:szCs w:val="32"/>
          <w14:textFill>
            <w14:solidFill>
              <w14:schemeClr w14:val="tx1"/>
            </w14:solidFill>
          </w14:textFill>
        </w:rPr>
        <w:t>以下事项市应急管理局下放实质性审核权，采取受理审核权与批准权适当分离、受理审核权下放、完善“审核转报件”的方式，由县级应急管理部门行使实质性审核职权，县级应急管理部门出具具体审核意见，加盖县级应急管理部门公章或审批专用章，承担审批相关法律责任，市级应急管理部门不再重复审核，“见章盖章”。</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危险化学品经营许可（涉及剧毒化学品、易制爆化学品的</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储存数量构成重大危险源的</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危险化学品安全使用许可。</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生产、储存危险化学品的建设项目安全条件审查。</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生产、储存危险化学品的建设项目安全设施设计审查。</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烟花爆竹建设项目安全设施设计审查。</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烟花爆竹经营（批发）许可。</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（三）一并下放。</w:t>
      </w:r>
      <w:r>
        <w:rPr>
          <w:rFonts w:hint="eastAsia" w:ascii="仿宋_GB2312" w:eastAsia="仿宋_GB2312"/>
          <w:color w:val="000000" w:themeColor="text1"/>
          <w:sz w:val="32"/>
          <w:szCs w:val="32"/>
          <w14:textFill>
            <w14:solidFill>
              <w14:schemeClr w14:val="tx1"/>
            </w14:solidFill>
          </w14:textFill>
        </w:rPr>
        <w:t>以下与行政许可相关联的行政权力事项，一并下放到县级实施，由县级应急管理部门行使实质性审核职权，县级应急管理部门出具具体审核意见，加盖县级应急管理部门公章或审批专用章，承担审批相关法律责任，市级应急管理部门不再重复审核，“见章盖章”，确保关联事项能在同一层级“一链办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二类非药品类易制毒化学品经营备案。</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二类、三类非药品类易制毒化学品生产备案。</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楷体" w:hAnsi="楷体" w:eastAsia="楷体"/>
          <w:b/>
          <w:bCs/>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（四）对涉及跨区县行政许可事项，审批权限仍在市应急管理局。</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四、实施方法</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（一）对直接下放的事项，由县级应急管理部门按照相关法律法要求，负责本行政区域内事项办理，市应急管理局不再受理。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对下放实质性审核权和一并下放的事项，市、县两级应急管理部门拥有同等的受理、办理权限，申请人既可以按照原有流程到市政务服务中心申请办理，也可以就近到县级政务服务中心申请办理。为了方便群众，所有申请事项应按照就近原则到县级政务服务中心申请办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1.市应急管理局直接受理的办事申请，仍按照原有流程办理。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2.县级应急管理部门受理的或市级指定受理的申请事项，由县级应急管理部门进行实质性审查（包括现场核查），填写审查意见书</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县级应急管理部门同意许可的申请事项，制作由单位分管负责人签字的《用印申请表》（附件1）、《建设项目许可情况汇总表》（附件2）《同意颁发许可证企业许可情况汇总表》（附件</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）《同意颁发易制毒备案企业情况汇总表》（附件</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），报市应急管理局许可科。市应急管理局许可科收到用印申请后，不再重复审核，按照“见章盖章”要求制作证件，并将办理结果返还县级应急管理部门。</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3.按照“谁审批、谁保管”的原则，由市县两级应急管理部门分别留存管理审批档案资料。</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五、实施时间</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本方案自2</w:t>
      </w:r>
      <w:r>
        <w:rPr>
          <w:rFonts w:ascii="仿宋_GB2312" w:eastAsia="仿宋_GB2312"/>
          <w:color w:val="000000" w:themeColor="text1"/>
          <w:sz w:val="32"/>
          <w:szCs w:val="32"/>
          <w14:textFill>
            <w14:solidFill>
              <w14:schemeClr w14:val="tx1"/>
            </w14:solidFill>
          </w14:textFill>
        </w:rPr>
        <w:t>020</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月3日起实施。实施日之前已提交申请的，仍按照原审批权限和流程办理。</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六、工作要求</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（一）提高认识，增强承接责任意识。</w:t>
      </w:r>
      <w:r>
        <w:rPr>
          <w:rFonts w:hint="eastAsia" w:ascii="仿宋_GB2312" w:eastAsia="仿宋_GB2312"/>
          <w:color w:val="000000" w:themeColor="text1"/>
          <w:sz w:val="32"/>
          <w:szCs w:val="32"/>
          <w14:textFill>
            <w14:solidFill>
              <w14:schemeClr w14:val="tx1"/>
            </w14:solidFill>
          </w14:textFill>
        </w:rPr>
        <w:t>实施行政审批“市县同权”改革是深化简政放权放管结合优化服务改革的重要内容，各区县应急管理部门要高度重视，切实加强对应急管理行政审批“市县同权”工作的组织领导，形成一把手亲自抓、分管领导具体抓、各科室紧密配合的良好机制，责任科室要制定有效举措，切实履行好“市县同权”事项审批职责，确保“市县同权”工作落实到位。</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（二）制定方案，认真研究承接措施。</w:t>
      </w:r>
      <w:r>
        <w:rPr>
          <w:rFonts w:hint="eastAsia" w:ascii="仿宋_GB2312" w:eastAsia="仿宋_GB2312"/>
          <w:color w:val="000000" w:themeColor="text1"/>
          <w:sz w:val="32"/>
          <w:szCs w:val="32"/>
          <w14:textFill>
            <w14:solidFill>
              <w14:schemeClr w14:val="tx1"/>
            </w14:solidFill>
          </w14:textFill>
        </w:rPr>
        <w:t>各区县应急管理部门要明确承接科室，健全配套制度，规范审查程序，明确办理时限，将许可依据、条件、程序、期限、申请材料和示范文本等，在办公场所和有关网站予以公示，并通知辖区所有相关企业。要把承接事项纳入“一次办好”清单，严格落实行政审批提速增效改革举措，确保审批权限下放后，行政许可所需办理环节“只减不增”、所需办理时限“只减不增”、所需申请材料“只减不增”，承诺办理时限要在5个工作日以内。要尽快研究制定承接方案，承接方案经主要负责人同意后于7月</w:t>
      </w:r>
      <w:r>
        <w:rPr>
          <w:rFonts w:ascii="仿宋_GB2312" w:eastAsia="仿宋_GB2312"/>
          <w:color w:val="000000" w:themeColor="text1"/>
          <w:sz w:val="32"/>
          <w:szCs w:val="32"/>
          <w14:textFill>
            <w14:solidFill>
              <w14:schemeClr w14:val="tx1"/>
            </w14:solidFill>
          </w14:textFill>
        </w:rPr>
        <w:t>30</w:t>
      </w:r>
      <w:r>
        <w:rPr>
          <w:rFonts w:hint="eastAsia" w:ascii="仿宋_GB2312" w:eastAsia="仿宋_GB2312"/>
          <w:color w:val="000000" w:themeColor="text1"/>
          <w:sz w:val="32"/>
          <w:szCs w:val="32"/>
          <w14:textFill>
            <w14:solidFill>
              <w14:schemeClr w14:val="tx1"/>
            </w14:solidFill>
          </w14:textFill>
        </w:rPr>
        <w:t>日前报市应急局行政许可科。</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（三）充实力量，切实提高审批质量。</w:t>
      </w:r>
      <w:r>
        <w:rPr>
          <w:rFonts w:hint="eastAsia" w:ascii="仿宋_GB2312" w:eastAsia="仿宋_GB2312"/>
          <w:color w:val="000000" w:themeColor="text1"/>
          <w:sz w:val="32"/>
          <w:szCs w:val="32"/>
          <w14:textFill>
            <w14:solidFill>
              <w14:schemeClr w14:val="tx1"/>
            </w14:solidFill>
          </w14:textFill>
        </w:rPr>
        <w:t>各区县应急管理部门要着力加强审批承接能力建设，健全集中统一的窗口办事制度，配强配齐许可工作人员，选派业务能力强、工作责任心强、综合素质高的同志充实到许可工作岗位。要严格按照法律法规要求，组织许可审批工作，严格专家培养和使用，确保下放事项“接得住”“用得好”，落实审批责任，切实把好审批关。</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（四）靠上指导，提高事项承接能力。</w:t>
      </w:r>
      <w:r>
        <w:rPr>
          <w:rFonts w:hint="eastAsia" w:ascii="仿宋_GB2312" w:eastAsia="仿宋_GB2312"/>
          <w:color w:val="000000" w:themeColor="text1"/>
          <w:sz w:val="32"/>
          <w:szCs w:val="32"/>
          <w14:textFill>
            <w14:solidFill>
              <w14:schemeClr w14:val="tx1"/>
            </w14:solidFill>
          </w14:textFill>
        </w:rPr>
        <w:t>市应急管理局要主动靠上指导，统一编制下放事项办事指南，举办全市应急管理行政审批“市县同权”改革工作培训班，针对审批薄弱环节，通过专题培训、现场指导、案例示范等方式，将审批实践中行之有效的操作规程一并下放到县级执行，帮助推动各区县应急管理部门实施好下放的许可事项。</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（五）加强督查，确保措施落实到位。</w:t>
      </w:r>
      <w:r>
        <w:rPr>
          <w:rFonts w:hint="eastAsia" w:ascii="仿宋_GB2312" w:eastAsia="仿宋_GB2312"/>
          <w:color w:val="000000" w:themeColor="text1"/>
          <w:sz w:val="32"/>
          <w:szCs w:val="32"/>
          <w14:textFill>
            <w14:solidFill>
              <w14:schemeClr w14:val="tx1"/>
            </w14:solidFill>
          </w14:textFill>
        </w:rPr>
        <w:t>市应急管理局要加强对全市应急管理行政审批“市县同权”工作的监督检查，建立督查抽查制度，组织有关人员对县级实施的市县同权审批事项开展专项督查和随机抽查，将市县同权工作质量纳入对各区县应急管理部门的年度考核内容。</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用印申请表</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tbl>
      <w:tblPr>
        <w:tblStyle w:val="4"/>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7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8" w:hRule="atLeast"/>
          <w:jc w:val="center"/>
        </w:trPr>
        <w:tc>
          <w:tcPr>
            <w:tcW w:w="1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rPr>
                <w:rFonts w:ascii="仿宋_GB2312" w:eastAsia="仿宋_GB2312"/>
                <w:b/>
                <w:bCs/>
                <w:sz w:val="32"/>
                <w:szCs w:val="32"/>
              </w:rPr>
            </w:pPr>
            <w:r>
              <w:rPr>
                <w:rFonts w:hint="eastAsia" w:ascii="仿宋_GB2312" w:eastAsia="仿宋_GB2312"/>
                <w:b/>
                <w:bCs/>
                <w:sz w:val="32"/>
                <w:szCs w:val="32"/>
              </w:rPr>
              <w:t>县级应急管理部门意见</w:t>
            </w:r>
          </w:p>
        </w:tc>
        <w:tc>
          <w:tcPr>
            <w:tcW w:w="7214"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u w:val="singl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u w:val="single"/>
              </w:rPr>
              <w:t>（公司名称）等  家</w:t>
            </w:r>
            <w:r>
              <w:rPr>
                <w:rFonts w:hint="eastAsia" w:ascii="仿宋_GB2312" w:eastAsia="仿宋_GB2312"/>
                <w:sz w:val="32"/>
                <w:szCs w:val="32"/>
              </w:rPr>
              <w:t>公司符合</w:t>
            </w:r>
            <w:r>
              <w:rPr>
                <w:rFonts w:hint="eastAsia" w:ascii="仿宋_GB2312" w:eastAsia="仿宋_GB2312"/>
                <w:sz w:val="32"/>
                <w:szCs w:val="32"/>
                <w:u w:val="single"/>
              </w:rPr>
              <w:t>（法律法规名称）</w:t>
            </w:r>
            <w:r>
              <w:rPr>
                <w:rFonts w:hint="eastAsia" w:ascii="仿宋_GB2312" w:eastAsia="仿宋_GB2312"/>
                <w:sz w:val="32"/>
                <w:szCs w:val="32"/>
              </w:rPr>
              <w:t>规定的条件，同意为其发放</w:t>
            </w:r>
            <w:r>
              <w:rPr>
                <w:rFonts w:hint="eastAsia" w:ascii="仿宋_GB2312" w:eastAsia="仿宋_GB2312"/>
                <w:sz w:val="32"/>
                <w:szCs w:val="32"/>
                <w:u w:val="single"/>
              </w:rPr>
              <w:t>（证件名称）</w:t>
            </w:r>
            <w:r>
              <w:rPr>
                <w:rFonts w:hint="eastAsia" w:ascii="仿宋_GB2312" w:eastAsia="仿宋_GB2312"/>
                <w:sz w:val="32"/>
                <w:szCs w:val="32"/>
              </w:rPr>
              <w:t>。根据《淄博市人民政府关于推进“市县同权”改革下放一批行政许可事项的通知》（淄政字</w:t>
            </w:r>
            <w:r>
              <w:rPr>
                <w:rFonts w:hint="eastAsia" w:ascii="微软雅黑" w:hAnsi="微软雅黑" w:eastAsia="微软雅黑" w:cs="微软雅黑"/>
                <w:sz w:val="32"/>
                <w:szCs w:val="32"/>
              </w:rPr>
              <w:t>﹝</w:t>
            </w:r>
            <w:r>
              <w:rPr>
                <w:rFonts w:hint="eastAsia" w:ascii="仿宋_GB2312" w:eastAsia="仿宋_GB2312"/>
                <w:sz w:val="32"/>
                <w:szCs w:val="32"/>
              </w:rPr>
              <w:t>2</w:t>
            </w:r>
            <w:r>
              <w:rPr>
                <w:rFonts w:ascii="仿宋_GB2312" w:eastAsia="仿宋_GB2312"/>
                <w:sz w:val="32"/>
                <w:szCs w:val="32"/>
              </w:rPr>
              <w:t>020</w:t>
            </w:r>
            <w:r>
              <w:rPr>
                <w:rFonts w:hint="eastAsia" w:ascii="微软雅黑" w:hAnsi="微软雅黑" w:eastAsia="微软雅黑" w:cs="微软雅黑"/>
                <w:sz w:val="32"/>
                <w:szCs w:val="32"/>
              </w:rPr>
              <w:t>﹞</w:t>
            </w:r>
            <w:r>
              <w:rPr>
                <w:rFonts w:hint="eastAsia" w:ascii="仿宋_GB2312" w:eastAsia="仿宋_GB2312"/>
                <w:sz w:val="32"/>
                <w:szCs w:val="32"/>
              </w:rPr>
              <w:t>6</w:t>
            </w:r>
            <w:r>
              <w:rPr>
                <w:rFonts w:ascii="仿宋_GB2312" w:eastAsia="仿宋_GB2312"/>
                <w:sz w:val="32"/>
                <w:szCs w:val="32"/>
              </w:rPr>
              <w:t>5</w:t>
            </w:r>
            <w:r>
              <w:rPr>
                <w:rFonts w:hint="eastAsia" w:ascii="仿宋_GB2312" w:eastAsia="仿宋_GB2312"/>
                <w:sz w:val="32"/>
                <w:szCs w:val="32"/>
              </w:rPr>
              <w:t>号）的有关规定，现申请市应急局用印。   </w:t>
            </w:r>
          </w:p>
          <w:p>
            <w:pPr>
              <w:keepNext w:val="0"/>
              <w:keepLines w:val="0"/>
              <w:pageBreakBefore w:val="0"/>
              <w:kinsoku/>
              <w:wordWrap/>
              <w:overflowPunct/>
              <w:topLinePunct w:val="0"/>
              <w:autoSpaceDE/>
              <w:autoSpaceDN/>
              <w:bidi w:val="0"/>
              <w:adjustRightInd/>
              <w:snapToGrid/>
              <w:spacing w:line="560" w:lineRule="exact"/>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（公章）</w:t>
            </w:r>
          </w:p>
          <w:p>
            <w:pPr>
              <w:keepNext w:val="0"/>
              <w:keepLines w:val="0"/>
              <w:pageBreakBefore w:val="0"/>
              <w:kinsoku/>
              <w:wordWrap/>
              <w:overflowPunct/>
              <w:topLinePunct w:val="0"/>
              <w:autoSpaceDE/>
              <w:autoSpaceDN/>
              <w:bidi w:val="0"/>
              <w:adjustRightInd/>
              <w:snapToGrid/>
              <w:spacing w:line="560" w:lineRule="exact"/>
              <w:rPr>
                <w:rFonts w:ascii="仿宋_GB2312" w:eastAsia="仿宋_GB2312"/>
                <w:sz w:val="32"/>
                <w:szCs w:val="32"/>
              </w:rPr>
            </w:pPr>
            <w:r>
              <w:rPr>
                <w:rFonts w:hint="eastAsia" w:ascii="仿宋_GB2312" w:eastAsia="仿宋_GB2312"/>
                <w:sz w:val="32"/>
                <w:szCs w:val="32"/>
              </w:rPr>
              <w:t xml:space="preserve">分管负责人：              </w:t>
            </w:r>
            <w:r>
              <w:rPr>
                <w:rFonts w:ascii="仿宋_GB2312" w:eastAsia="仿宋_GB2312"/>
                <w:sz w:val="32"/>
                <w:szCs w:val="32"/>
              </w:rPr>
              <w:t xml:space="preserve">  </w:t>
            </w:r>
            <w:r>
              <w:rPr>
                <w:rFonts w:hint="eastAsia" w:ascii="仿宋_GB2312" w:eastAsia="仿宋_GB2312"/>
                <w:sz w:val="32"/>
                <w:szCs w:val="32"/>
              </w:rPr>
              <w:t xml:space="preserve"> 年   月   日</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p>
        </w:tc>
      </w:tr>
    </w:tbl>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color w:val="000000" w:themeColor="text1"/>
          <w:sz w:val="32"/>
          <w:szCs w:val="32"/>
          <w14:textFill>
            <w14:solidFill>
              <w14:schemeClr w14:val="tx1"/>
            </w14:solidFill>
          </w14:textFill>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tbl>
      <w:tblPr>
        <w:tblStyle w:val="4"/>
        <w:tblpPr w:leftFromText="180" w:rightFromText="180" w:vertAnchor="page" w:horzAnchor="margin" w:tblpXSpec="center" w:tblpY="3821"/>
        <w:tblW w:w="14123" w:type="dxa"/>
        <w:jc w:val="center"/>
        <w:tblLayout w:type="fixed"/>
        <w:tblCellMar>
          <w:top w:w="15" w:type="dxa"/>
          <w:left w:w="15" w:type="dxa"/>
          <w:bottom w:w="15" w:type="dxa"/>
          <w:right w:w="15" w:type="dxa"/>
        </w:tblCellMar>
      </w:tblPr>
      <w:tblGrid>
        <w:gridCol w:w="833"/>
        <w:gridCol w:w="2556"/>
        <w:gridCol w:w="2047"/>
        <w:gridCol w:w="2692"/>
        <w:gridCol w:w="1659"/>
        <w:gridCol w:w="1804"/>
        <w:gridCol w:w="1266"/>
        <w:gridCol w:w="1266"/>
      </w:tblGrid>
      <w:tr>
        <w:tblPrEx>
          <w:tblCellMar>
            <w:top w:w="15" w:type="dxa"/>
            <w:left w:w="15" w:type="dxa"/>
            <w:bottom w:w="15" w:type="dxa"/>
            <w:right w:w="15" w:type="dxa"/>
          </w:tblCellMar>
        </w:tblPrEx>
        <w:trPr>
          <w:trHeight w:val="1158" w:hRule="atLeast"/>
          <w:jc w:val="center"/>
        </w:trPr>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序号</w:t>
            </w:r>
          </w:p>
        </w:tc>
        <w:tc>
          <w:tcPr>
            <w:tcW w:w="25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建设单位、项目名称</w:t>
            </w:r>
          </w:p>
        </w:tc>
        <w:tc>
          <w:tcPr>
            <w:tcW w:w="20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审查类别</w:t>
            </w:r>
            <w:r>
              <w:rPr>
                <w:rFonts w:hint="eastAsia" w:ascii="黑体" w:hAnsi="黑体" w:eastAsia="黑体"/>
                <w:bCs/>
                <w:color w:val="000000" w:themeColor="text1"/>
                <w:sz w:val="24"/>
                <w:szCs w:val="24"/>
                <w14:textFill>
                  <w14:solidFill>
                    <w14:schemeClr w14:val="tx1"/>
                  </w14:solidFill>
                </w14:textFill>
              </w:rPr>
              <w:br w:type="textWrapping"/>
            </w:r>
            <w:r>
              <w:rPr>
                <w:rFonts w:hint="eastAsia" w:ascii="黑体" w:hAnsi="黑体" w:eastAsia="黑体"/>
                <w:bCs/>
                <w:color w:val="000000" w:themeColor="text1"/>
                <w:sz w:val="24"/>
                <w:szCs w:val="24"/>
                <w:lang w:eastAsia="zh-CN"/>
                <w14:textFill>
                  <w14:solidFill>
                    <w14:schemeClr w14:val="tx1"/>
                  </w14:solidFill>
                </w14:textFill>
              </w:rPr>
              <w:t>（</w:t>
            </w:r>
            <w:r>
              <w:rPr>
                <w:rFonts w:hint="eastAsia" w:ascii="黑体" w:hAnsi="黑体" w:eastAsia="黑体"/>
                <w:bCs/>
                <w:color w:val="000000" w:themeColor="text1"/>
                <w:sz w:val="24"/>
                <w:szCs w:val="24"/>
                <w14:textFill>
                  <w14:solidFill>
                    <w14:schemeClr w14:val="tx1"/>
                  </w14:solidFill>
                </w14:textFill>
              </w:rPr>
              <w:t>安全条件、安全设施设计</w:t>
            </w:r>
            <w:r>
              <w:rPr>
                <w:rFonts w:hint="eastAsia" w:ascii="黑体" w:hAnsi="黑体" w:eastAsia="黑体"/>
                <w:bCs/>
                <w:color w:val="000000" w:themeColor="text1"/>
                <w:sz w:val="24"/>
                <w:szCs w:val="24"/>
                <w:lang w:eastAsia="zh-CN"/>
                <w14:textFill>
                  <w14:solidFill>
                    <w14:schemeClr w14:val="tx1"/>
                  </w14:solidFill>
                </w14:textFill>
              </w:rPr>
              <w:t>）</w:t>
            </w: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bCs/>
                <w:color w:val="000000" w:themeColor="text1"/>
                <w:sz w:val="24"/>
                <w:szCs w:val="24"/>
                <w:lang w:eastAsia="zh-CN"/>
                <w14:textFill>
                  <w14:solidFill>
                    <w14:schemeClr w14:val="tx1"/>
                  </w14:solidFill>
                </w14:textFill>
              </w:rPr>
            </w:pPr>
            <w:r>
              <w:rPr>
                <w:rFonts w:hint="eastAsia" w:ascii="黑体" w:hAnsi="黑体" w:eastAsia="黑体"/>
                <w:bCs/>
                <w:color w:val="000000" w:themeColor="text1"/>
                <w:sz w:val="24"/>
                <w:szCs w:val="24"/>
                <w:lang w:val="en-US" w:eastAsia="zh-CN"/>
                <w14:textFill>
                  <w14:solidFill>
                    <w14:schemeClr w14:val="tx1"/>
                  </w14:solidFill>
                </w14:textFill>
              </w:rPr>
              <w:t>主要建设内容</w:t>
            </w: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项目类别</w:t>
            </w:r>
            <w:r>
              <w:rPr>
                <w:rFonts w:hint="eastAsia" w:ascii="黑体" w:hAnsi="黑体" w:eastAsia="黑体"/>
                <w:bCs/>
                <w:color w:val="000000" w:themeColor="text1"/>
                <w:sz w:val="24"/>
                <w:szCs w:val="24"/>
                <w14:textFill>
                  <w14:solidFill>
                    <w14:schemeClr w14:val="tx1"/>
                  </w14:solidFill>
                </w14:textFill>
              </w:rPr>
              <w:br w:type="textWrapping"/>
            </w:r>
            <w:r>
              <w:rPr>
                <w:rFonts w:hint="eastAsia" w:ascii="黑体" w:hAnsi="黑体" w:eastAsia="黑体"/>
                <w:bCs/>
                <w:color w:val="000000" w:themeColor="text1"/>
                <w:sz w:val="24"/>
                <w:szCs w:val="24"/>
                <w14:textFill>
                  <w14:solidFill>
                    <w14:schemeClr w14:val="tx1"/>
                  </w14:solidFill>
                </w14:textFill>
              </w:rPr>
              <w:t>新、改、扩建项目</w:t>
            </w:r>
          </w:p>
        </w:tc>
        <w:tc>
          <w:tcPr>
            <w:tcW w:w="1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建设地址</w:t>
            </w:r>
          </w:p>
        </w:tc>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bCs/>
                <w:color w:val="000000" w:themeColor="text1"/>
                <w:sz w:val="24"/>
                <w:szCs w:val="24"/>
                <w:lang w:eastAsia="zh-CN"/>
                <w14:textFill>
                  <w14:solidFill>
                    <w14:schemeClr w14:val="tx1"/>
                  </w14:solidFill>
                </w14:textFill>
              </w:rPr>
            </w:pPr>
            <w:r>
              <w:rPr>
                <w:rFonts w:hint="eastAsia" w:ascii="黑体" w:hAnsi="黑体" w:eastAsia="黑体"/>
                <w:bCs/>
                <w:color w:val="000000" w:themeColor="text1"/>
                <w:sz w:val="24"/>
                <w:szCs w:val="24"/>
                <w:lang w:val="en-US" w:eastAsia="zh-CN"/>
                <w14:textFill>
                  <w14:solidFill>
                    <w14:schemeClr w14:val="tx1"/>
                  </w14:solidFill>
                </w14:textFill>
              </w:rPr>
              <w:t>发证日期</w:t>
            </w:r>
          </w:p>
        </w:tc>
        <w:tc>
          <w:tcPr>
            <w:tcW w:w="12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黑体" w:hAnsi="黑体" w:eastAsia="黑体"/>
                <w:bCs/>
                <w:color w:val="000000" w:themeColor="text1"/>
                <w:sz w:val="24"/>
                <w:szCs w:val="24"/>
                <w:lang w:val="en-US" w:eastAsia="zh-CN"/>
                <w14:textFill>
                  <w14:solidFill>
                    <w14:schemeClr w14:val="tx1"/>
                  </w14:solidFill>
                </w14:textFill>
              </w:rPr>
            </w:pPr>
            <w:r>
              <w:rPr>
                <w:rFonts w:hint="eastAsia" w:ascii="黑体" w:hAnsi="黑体" w:eastAsia="黑体"/>
                <w:bCs/>
                <w:color w:val="000000" w:themeColor="text1"/>
                <w:sz w:val="24"/>
                <w:szCs w:val="24"/>
                <w:lang w:val="en-US" w:eastAsia="zh-CN"/>
                <w14:textFill>
                  <w14:solidFill>
                    <w14:schemeClr w14:val="tx1"/>
                  </w14:solidFill>
                </w14:textFill>
              </w:rPr>
              <w:t>备注</w:t>
            </w:r>
          </w:p>
        </w:tc>
      </w:tr>
      <w:tr>
        <w:tblPrEx>
          <w:tblCellMar>
            <w:top w:w="15" w:type="dxa"/>
            <w:left w:w="15" w:type="dxa"/>
            <w:bottom w:w="15" w:type="dxa"/>
            <w:right w:w="15" w:type="dxa"/>
          </w:tblCellMar>
        </w:tblPrEx>
        <w:trPr>
          <w:trHeight w:val="1178" w:hRule="atLeast"/>
          <w:jc w:val="center"/>
        </w:trPr>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1</w:t>
            </w:r>
          </w:p>
        </w:tc>
        <w:tc>
          <w:tcPr>
            <w:tcW w:w="25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p>
        </w:tc>
        <w:tc>
          <w:tcPr>
            <w:tcW w:w="20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 xml:space="preserve">  </w:t>
            </w:r>
          </w:p>
        </w:tc>
        <w:tc>
          <w:tcPr>
            <w:tcW w:w="1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p>
        </w:tc>
        <w:tc>
          <w:tcPr>
            <w:tcW w:w="1266"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p>
        </w:tc>
        <w:tc>
          <w:tcPr>
            <w:tcW w:w="1266"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p>
        </w:tc>
      </w:tr>
      <w:tr>
        <w:tblPrEx>
          <w:tblCellMar>
            <w:top w:w="15" w:type="dxa"/>
            <w:left w:w="15" w:type="dxa"/>
            <w:bottom w:w="15" w:type="dxa"/>
            <w:right w:w="15" w:type="dxa"/>
          </w:tblCellMar>
        </w:tblPrEx>
        <w:trPr>
          <w:trHeight w:val="1440" w:hRule="atLeast"/>
          <w:jc w:val="center"/>
        </w:trPr>
        <w:tc>
          <w:tcPr>
            <w:tcW w:w="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ascii="仿宋_GB2312" w:eastAsia="仿宋_GB2312"/>
                <w:bCs/>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2</w:t>
            </w:r>
          </w:p>
        </w:tc>
        <w:tc>
          <w:tcPr>
            <w:tcW w:w="25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p>
        </w:tc>
        <w:tc>
          <w:tcPr>
            <w:tcW w:w="20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p>
        </w:tc>
        <w:tc>
          <w:tcPr>
            <w:tcW w:w="26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p>
        </w:tc>
        <w:tc>
          <w:tcPr>
            <w:tcW w:w="1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p>
        </w:tc>
        <w:tc>
          <w:tcPr>
            <w:tcW w:w="1266"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p>
        </w:tc>
        <w:tc>
          <w:tcPr>
            <w:tcW w:w="1266"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Cs/>
                <w:color w:val="000000" w:themeColor="text1"/>
                <w:sz w:val="32"/>
                <w:szCs w:val="32"/>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建设项目许可情况汇总表</w:t>
      </w:r>
    </w:p>
    <w:p>
      <w:pPr>
        <w:keepNext w:val="0"/>
        <w:keepLines w:val="0"/>
        <w:pageBreakBefore w:val="0"/>
        <w:kinsoku/>
        <w:wordWrap/>
        <w:overflowPunct/>
        <w:topLinePunct w:val="0"/>
        <w:autoSpaceDE/>
        <w:autoSpaceDN/>
        <w:bidi w:val="0"/>
        <w:adjustRightInd/>
        <w:snapToGrid/>
        <w:spacing w:line="560" w:lineRule="exact"/>
        <w:rPr>
          <w:rFonts w:hint="eastAsia" w:ascii="仿宋_GB2312" w:hAnsi="黑体" w:eastAsia="仿宋_GB2312" w:cs="黑体"/>
          <w:color w:val="000000" w:themeColor="text1"/>
          <w:sz w:val="28"/>
          <w:szCs w:val="28"/>
          <w:lang w:val="en-US" w:eastAsia="zh-CN"/>
          <w14:textFill>
            <w14:solidFill>
              <w14:schemeClr w14:val="tx1"/>
            </w14:solidFill>
          </w14:textFill>
        </w:rPr>
      </w:pPr>
      <w:r>
        <w:rPr>
          <w:rFonts w:hint="eastAsia" w:ascii="仿宋_GB2312" w:hAnsi="黑体" w:eastAsia="仿宋_GB2312" w:cs="黑体"/>
          <w:color w:val="000000" w:themeColor="text1"/>
          <w:sz w:val="28"/>
          <w:szCs w:val="28"/>
          <w:lang w:val="en-US" w:eastAsia="zh-CN"/>
          <w14:textFill>
            <w14:solidFill>
              <w14:schemeClr w14:val="tx1"/>
            </w14:solidFill>
          </w14:textFill>
        </w:rPr>
        <w:t>单位（盖章）：</w:t>
      </w:r>
    </w:p>
    <w:p>
      <w:pPr>
        <w:keepNext w:val="0"/>
        <w:keepLines w:val="0"/>
        <w:pageBreakBefore w:val="0"/>
        <w:kinsoku/>
        <w:wordWrap/>
        <w:overflowPunct/>
        <w:topLinePunct w:val="0"/>
        <w:autoSpaceDE/>
        <w:autoSpaceDN/>
        <w:bidi w:val="0"/>
        <w:adjustRightInd/>
        <w:snapToGrid/>
        <w:spacing w:line="560" w:lineRule="exact"/>
        <w:ind w:firstLine="840" w:firstLineChars="300"/>
        <w:rPr>
          <w:rFonts w:ascii="仿宋_GB2312" w:hAnsi="黑体" w:eastAsia="仿宋_GB2312" w:cs="黑体"/>
          <w:color w:val="000000" w:themeColor="text1"/>
          <w:sz w:val="28"/>
          <w:szCs w:val="28"/>
          <w14:textFill>
            <w14:solidFill>
              <w14:schemeClr w14:val="tx1"/>
            </w14:solidFill>
          </w14:textFill>
        </w:rPr>
      </w:pPr>
      <w:r>
        <w:rPr>
          <w:rFonts w:hint="eastAsia" w:ascii="仿宋_GB2312" w:hAnsi="黑体" w:eastAsia="仿宋_GB2312" w:cs="黑体"/>
          <w:color w:val="000000" w:themeColor="text1"/>
          <w:sz w:val="28"/>
          <w:szCs w:val="28"/>
          <w14:textFill>
            <w14:solidFill>
              <w14:schemeClr w14:val="tx1"/>
            </w14:solidFill>
          </w14:textFill>
        </w:rPr>
        <w:t>制表人：                       分管负责人：                       制表日期：</w:t>
      </w:r>
    </w:p>
    <w:p>
      <w:pPr>
        <w:keepNext w:val="0"/>
        <w:keepLines w:val="0"/>
        <w:pageBreakBefore w:val="0"/>
        <w:kinsoku/>
        <w:wordWrap/>
        <w:overflowPunct/>
        <w:topLinePunct w:val="0"/>
        <w:autoSpaceDE/>
        <w:autoSpaceDN/>
        <w:bidi w:val="0"/>
        <w:adjustRightInd/>
        <w:snapToGrid/>
        <w:spacing w:line="560" w:lineRule="exact"/>
        <w:ind w:firstLine="883" w:firstLineChars="200"/>
        <w:jc w:val="center"/>
        <w:rPr>
          <w:rFonts w:ascii="宋体" w:hAnsi="宋体" w:eastAsia="宋体"/>
          <w:b/>
          <w:bCs/>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附件3</w:t>
      </w:r>
    </w:p>
    <w:p>
      <w:pPr>
        <w:keepNext w:val="0"/>
        <w:keepLines w:val="0"/>
        <w:pageBreakBefore w:val="0"/>
        <w:kinsoku/>
        <w:wordWrap/>
        <w:overflowPunct/>
        <w:topLinePunct w:val="0"/>
        <w:autoSpaceDE/>
        <w:autoSpaceDN/>
        <w:bidi w:val="0"/>
        <w:adjustRightInd/>
        <w:snapToGrid/>
        <w:spacing w:line="560" w:lineRule="exact"/>
        <w:jc w:val="center"/>
        <w:rPr>
          <w:rFonts w:ascii="宋体" w:hAnsi="宋体" w:eastAsia="宋体" w:cs="黑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同意颁发许可证企业许可情况汇总表</w:t>
      </w:r>
    </w:p>
    <w:p>
      <w:pPr>
        <w:keepNext w:val="0"/>
        <w:keepLines w:val="0"/>
        <w:pageBreakBefore w:val="0"/>
        <w:kinsoku/>
        <w:wordWrap/>
        <w:overflowPunct/>
        <w:topLinePunct w:val="0"/>
        <w:autoSpaceDE/>
        <w:autoSpaceDN/>
        <w:bidi w:val="0"/>
        <w:adjustRightInd/>
        <w:snapToGrid/>
        <w:spacing w:line="560" w:lineRule="exact"/>
        <w:rPr>
          <w:rFonts w:ascii="仿宋_GB2312" w:hAnsi="黑体" w:eastAsia="仿宋_GB2312" w:cs="黑体"/>
          <w:color w:val="000000" w:themeColor="text1"/>
          <w:sz w:val="24"/>
          <w14:textFill>
            <w14:solidFill>
              <w14:schemeClr w14:val="tx1"/>
            </w14:solidFill>
          </w14:textFill>
        </w:rPr>
      </w:pPr>
      <w:r>
        <w:rPr>
          <w:rFonts w:hint="eastAsia" w:ascii="仿宋_GB2312" w:hAnsi="黑体" w:eastAsia="仿宋_GB2312" w:cs="黑体"/>
          <w:color w:val="000000" w:themeColor="text1"/>
          <w:sz w:val="24"/>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单位</w:t>
      </w:r>
      <w:r>
        <w:rPr>
          <w:rFonts w:hint="eastAsia" w:ascii="仿宋_GB2312" w:hAnsi="黑体" w:eastAsia="仿宋_GB2312" w:cs="黑体"/>
          <w:color w:val="000000" w:themeColor="text1"/>
          <w:sz w:val="28"/>
          <w:szCs w:val="28"/>
          <w14:textFill>
            <w14:solidFill>
              <w14:schemeClr w14:val="tx1"/>
            </w14:solidFill>
          </w14:textFill>
        </w:rPr>
        <w:t>（盖章）：</w:t>
      </w:r>
    </w:p>
    <w:tbl>
      <w:tblPr>
        <w:tblStyle w:val="4"/>
        <w:tblpPr w:leftFromText="180" w:rightFromText="180" w:vertAnchor="text" w:horzAnchor="page" w:tblpXSpec="center" w:tblpY="299"/>
        <w:tblOverlap w:val="never"/>
        <w:tblW w:w="15440" w:type="dxa"/>
        <w:jc w:val="center"/>
        <w:tblLayout w:type="fixed"/>
        <w:tblCellMar>
          <w:top w:w="15" w:type="dxa"/>
          <w:left w:w="15" w:type="dxa"/>
          <w:bottom w:w="15" w:type="dxa"/>
          <w:right w:w="15" w:type="dxa"/>
        </w:tblCellMar>
      </w:tblPr>
      <w:tblGrid>
        <w:gridCol w:w="567"/>
        <w:gridCol w:w="1957"/>
        <w:gridCol w:w="1631"/>
        <w:gridCol w:w="1237"/>
        <w:gridCol w:w="1237"/>
        <w:gridCol w:w="1237"/>
        <w:gridCol w:w="1409"/>
        <w:gridCol w:w="2418"/>
        <w:gridCol w:w="1431"/>
        <w:gridCol w:w="1397"/>
        <w:gridCol w:w="919"/>
      </w:tblGrid>
      <w:tr>
        <w:tblPrEx>
          <w:tblCellMar>
            <w:top w:w="15" w:type="dxa"/>
            <w:left w:w="15" w:type="dxa"/>
            <w:bottom w:w="15" w:type="dxa"/>
            <w:right w:w="15" w:type="dxa"/>
          </w:tblCellMar>
        </w:tblPrEx>
        <w:trPr>
          <w:trHeight w:val="75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rPr>
                <w:rFonts w:hint="eastAsia" w:ascii="黑体" w:hAnsi="黑体" w:eastAsia="黑体" w:cs="仿宋_GB2312"/>
                <w:bCs/>
                <w:color w:val="000000" w:themeColor="text1"/>
                <w:kern w:val="0"/>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序号</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rPr>
                <w:rFonts w:hint="eastAsia" w:ascii="黑体" w:hAnsi="黑体" w:eastAsia="黑体" w:cs="仿宋_GB2312"/>
                <w:bCs/>
                <w:color w:val="000000" w:themeColor="text1"/>
                <w:kern w:val="0"/>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企业名称</w:t>
            </w:r>
          </w:p>
        </w:tc>
        <w:tc>
          <w:tcPr>
            <w:tcW w:w="16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rPr>
                <w:rFonts w:hint="eastAsia" w:ascii="黑体" w:hAnsi="黑体" w:eastAsia="黑体" w:cs="仿宋_GB2312"/>
                <w:bCs/>
                <w:color w:val="000000" w:themeColor="text1"/>
                <w:kern w:val="0"/>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企业住所</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rPr>
                <w:rFonts w:hint="eastAsia" w:ascii="黑体" w:hAnsi="黑体" w:eastAsia="黑体" w:cs="仿宋_GB2312"/>
                <w:bCs/>
                <w:color w:val="000000" w:themeColor="text1"/>
                <w:kern w:val="0"/>
                <w:sz w:val="24"/>
                <w:szCs w:val="24"/>
                <w:lang w:val="en-US" w:eastAsia="zh-CN"/>
                <w14:textFill>
                  <w14:solidFill>
                    <w14:schemeClr w14:val="tx1"/>
                  </w14:solidFill>
                </w14:textFill>
              </w:rPr>
            </w:pPr>
            <w:r>
              <w:rPr>
                <w:rFonts w:hint="eastAsia" w:ascii="黑体" w:hAnsi="黑体" w:eastAsia="黑体" w:cs="仿宋_GB2312"/>
                <w:bCs/>
                <w:color w:val="000000" w:themeColor="text1"/>
                <w:kern w:val="0"/>
                <w:sz w:val="24"/>
                <w:szCs w:val="24"/>
                <w:lang w:val="en-US" w:eastAsia="zh-CN"/>
                <w14:textFill>
                  <w14:solidFill>
                    <w14:schemeClr w14:val="tx1"/>
                  </w14:solidFill>
                </w14:textFill>
              </w:rPr>
              <w:t>经济类型</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rPr>
                <w:rFonts w:hint="eastAsia" w:ascii="黑体" w:hAnsi="黑体" w:eastAsia="黑体" w:cs="仿宋_GB2312"/>
                <w:bCs/>
                <w:color w:val="000000" w:themeColor="text1"/>
                <w:kern w:val="0"/>
                <w:sz w:val="24"/>
                <w:szCs w:val="24"/>
                <w:lang w:val="en-US" w:eastAsia="zh-CN"/>
                <w14:textFill>
                  <w14:solidFill>
                    <w14:schemeClr w14:val="tx1"/>
                  </w14:solidFill>
                </w14:textFill>
              </w:rPr>
            </w:pPr>
            <w:r>
              <w:rPr>
                <w:rFonts w:hint="eastAsia" w:ascii="黑体" w:hAnsi="黑体" w:eastAsia="黑体" w:cs="仿宋_GB2312"/>
                <w:bCs/>
                <w:color w:val="000000" w:themeColor="text1"/>
                <w:kern w:val="0"/>
                <w:sz w:val="24"/>
                <w:szCs w:val="24"/>
                <w:lang w:val="en-US" w:eastAsia="zh-CN"/>
                <w14:textFill>
                  <w14:solidFill>
                    <w14:schemeClr w14:val="tx1"/>
                  </w14:solidFill>
                </w14:textFill>
              </w:rPr>
              <w:t>统一社会信用代码</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rPr>
                <w:rFonts w:hint="eastAsia" w:ascii="黑体" w:hAnsi="黑体" w:eastAsia="黑体" w:cs="仿宋_GB2312"/>
                <w:bCs/>
                <w:color w:val="000000" w:themeColor="text1"/>
                <w:kern w:val="0"/>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企业法定代表人/主要负责人</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rPr>
                <w:rFonts w:hint="eastAsia" w:ascii="黑体" w:hAnsi="黑体" w:eastAsia="黑体" w:cs="仿宋_GB2312"/>
                <w:bCs/>
                <w:color w:val="000000" w:themeColor="text1"/>
                <w:kern w:val="0"/>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经营方式</w:t>
            </w:r>
          </w:p>
        </w:tc>
        <w:tc>
          <w:tcPr>
            <w:tcW w:w="2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rPr>
                <w:rFonts w:hint="eastAsia" w:ascii="黑体" w:hAnsi="黑体" w:eastAsia="黑体" w:cs="仿宋_GB2312"/>
                <w:bCs/>
                <w:color w:val="000000" w:themeColor="text1"/>
                <w:kern w:val="0"/>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许可范围</w:t>
            </w:r>
          </w:p>
        </w:tc>
        <w:tc>
          <w:tcPr>
            <w:tcW w:w="14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rPr>
                <w:rFonts w:hint="eastAsia" w:ascii="黑体" w:hAnsi="黑体" w:eastAsia="黑体" w:cs="仿宋_GB2312"/>
                <w:bCs/>
                <w:color w:val="000000" w:themeColor="text1"/>
                <w:kern w:val="0"/>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发证日期</w:t>
            </w:r>
          </w:p>
        </w:tc>
        <w:tc>
          <w:tcPr>
            <w:tcW w:w="1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rPr>
                <w:rFonts w:hint="eastAsia" w:ascii="黑体" w:hAnsi="黑体" w:eastAsia="黑体" w:cs="仿宋_GB2312"/>
                <w:bCs/>
                <w:color w:val="000000" w:themeColor="text1"/>
                <w:kern w:val="0"/>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有效期限</w:t>
            </w:r>
          </w:p>
        </w:tc>
        <w:tc>
          <w:tcPr>
            <w:tcW w:w="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rPr>
                <w:rFonts w:hint="eastAsia" w:ascii="黑体" w:hAnsi="黑体" w:eastAsia="黑体" w:cs="仿宋_GB2312"/>
                <w:bCs/>
                <w:color w:val="000000" w:themeColor="text1"/>
                <w:kern w:val="0"/>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备注</w:t>
            </w:r>
          </w:p>
        </w:tc>
      </w:tr>
      <w:tr>
        <w:tblPrEx>
          <w:tblCellMar>
            <w:top w:w="15" w:type="dxa"/>
            <w:left w:w="15" w:type="dxa"/>
            <w:bottom w:w="15" w:type="dxa"/>
            <w:right w:w="15" w:type="dxa"/>
          </w:tblCellMar>
        </w:tblPrEx>
        <w:trPr>
          <w:trHeight w:val="103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1</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6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2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trHeight w:val="121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2</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6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2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trHeight w:val="90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3</w:t>
            </w:r>
          </w:p>
        </w:tc>
        <w:tc>
          <w:tcPr>
            <w:tcW w:w="19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6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2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3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制表人：                       分管负责人：                       制表日期：</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olor w:val="000000" w:themeColor="text1"/>
          <w:sz w:val="28"/>
          <w:szCs w:val="28"/>
          <w14:textFill>
            <w14:solidFill>
              <w14:schemeClr w14:val="tx1"/>
            </w14:solidFill>
          </w14:textFill>
        </w:rPr>
        <w:sectPr>
          <w:pgSz w:w="16838" w:h="11906" w:orient="landscape"/>
          <w:pgMar w:top="1800" w:right="1440" w:bottom="1800" w:left="1440" w:header="851" w:footer="992" w:gutter="0"/>
          <w:pgNumType w:fmt="numberInDash"/>
          <w:cols w:space="720" w:num="1"/>
          <w:docGrid w:type="lines" w:linePitch="312" w:charSpace="0"/>
        </w:sectPr>
      </w:pPr>
      <w:r>
        <w:rPr>
          <w:rFonts w:hint="eastAsia" w:ascii="仿宋_GB2312" w:eastAsia="仿宋_GB2312"/>
          <w:color w:val="000000" w:themeColor="text1"/>
          <w:sz w:val="28"/>
          <w:szCs w:val="28"/>
          <w14:textFill>
            <w14:solidFill>
              <w14:schemeClr w14:val="tx1"/>
            </w14:solidFill>
          </w14:textFill>
        </w:rPr>
        <w:t>备注栏填写：使用/经营新办、延期、变更、注销。使用企业无需填写经营方式。</w:t>
      </w: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附件4</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同意</w:t>
      </w:r>
      <w:bookmarkStart w:id="1" w:name="_Hlk45807082"/>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颁发</w:t>
      </w:r>
      <w:bookmarkEnd w:id="1"/>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易制毒备案企业情况汇总表</w:t>
      </w:r>
    </w:p>
    <w:p>
      <w:pPr>
        <w:keepNext w:val="0"/>
        <w:keepLines w:val="0"/>
        <w:pageBreakBefore w:val="0"/>
        <w:kinsoku/>
        <w:wordWrap/>
        <w:overflowPunct/>
        <w:topLinePunct w:val="0"/>
        <w:autoSpaceDE/>
        <w:autoSpaceDN/>
        <w:bidi w:val="0"/>
        <w:adjustRightInd/>
        <w:snapToGrid/>
        <w:spacing w:line="560" w:lineRule="exact"/>
        <w:jc w:val="left"/>
        <w:rPr>
          <w:rFonts w:ascii="仿宋_GB2312" w:hAnsi="黑体" w:eastAsia="仿宋_GB2312" w:cs="黑体"/>
          <w:color w:val="000000" w:themeColor="text1"/>
          <w:sz w:val="24"/>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单位</w:t>
      </w:r>
      <w:r>
        <w:rPr>
          <w:rFonts w:hint="eastAsia" w:ascii="仿宋_GB2312" w:hAnsi="黑体" w:eastAsia="仿宋_GB2312" w:cs="黑体"/>
          <w:color w:val="000000" w:themeColor="text1"/>
          <w:sz w:val="28"/>
          <w:szCs w:val="28"/>
          <w14:textFill>
            <w14:solidFill>
              <w14:schemeClr w14:val="tx1"/>
            </w14:solidFill>
          </w14:textFill>
        </w:rPr>
        <w:t>（盖章）：</w:t>
      </w:r>
    </w:p>
    <w:tbl>
      <w:tblPr>
        <w:tblStyle w:val="4"/>
        <w:tblW w:w="15615" w:type="dxa"/>
        <w:jc w:val="center"/>
        <w:tblLayout w:type="fixed"/>
        <w:tblCellMar>
          <w:top w:w="15" w:type="dxa"/>
          <w:left w:w="15" w:type="dxa"/>
          <w:bottom w:w="15" w:type="dxa"/>
          <w:right w:w="15" w:type="dxa"/>
        </w:tblCellMar>
      </w:tblPr>
      <w:tblGrid>
        <w:gridCol w:w="750"/>
        <w:gridCol w:w="1749"/>
        <w:gridCol w:w="1563"/>
        <w:gridCol w:w="1237"/>
        <w:gridCol w:w="1409"/>
        <w:gridCol w:w="1409"/>
        <w:gridCol w:w="2418"/>
        <w:gridCol w:w="1296"/>
        <w:gridCol w:w="1417"/>
        <w:gridCol w:w="1433"/>
        <w:gridCol w:w="934"/>
      </w:tblGrid>
      <w:tr>
        <w:tblPrEx>
          <w:tblCellMar>
            <w:top w:w="15" w:type="dxa"/>
            <w:left w:w="15" w:type="dxa"/>
            <w:bottom w:w="15" w:type="dxa"/>
            <w:right w:w="15" w:type="dxa"/>
          </w:tblCellMar>
        </w:tblPrEx>
        <w:trPr>
          <w:trHeight w:val="75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top"/>
              <w:rPr>
                <w:rFonts w:ascii="黑体" w:hAnsi="黑体" w:eastAsia="黑体" w:cs="仿宋_GB2312"/>
                <w:bCs/>
                <w:color w:val="000000" w:themeColor="text1"/>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序号</w:t>
            </w:r>
          </w:p>
        </w:tc>
        <w:tc>
          <w:tcPr>
            <w:tcW w:w="17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黑体" w:eastAsia="黑体" w:cs="仿宋_GB2312"/>
                <w:bCs/>
                <w:color w:val="000000" w:themeColor="text1"/>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企业名称</w:t>
            </w:r>
          </w:p>
        </w:tc>
        <w:tc>
          <w:tcPr>
            <w:tcW w:w="15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黑体" w:eastAsia="黑体" w:cs="仿宋_GB2312"/>
                <w:bCs/>
                <w:color w:val="000000" w:themeColor="text1"/>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企业住所</w:t>
            </w: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黑体" w:eastAsia="黑体" w:cs="仿宋_GB2312"/>
                <w:bCs/>
                <w:color w:val="000000" w:themeColor="text1"/>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企业法定代表人/主要负责人</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黑体" w:hAnsi="黑体" w:eastAsia="黑体" w:cs="仿宋_GB2312"/>
                <w:bCs/>
                <w:color w:val="000000" w:themeColor="text1"/>
                <w:kern w:val="0"/>
                <w:sz w:val="24"/>
                <w:szCs w:val="24"/>
                <w14:textFill>
                  <w14:solidFill>
                    <w14:schemeClr w14:val="tx1"/>
                  </w14:solidFill>
                </w14:textFill>
              </w:rPr>
            </w:pPr>
            <w:r>
              <w:rPr>
                <w:rFonts w:hint="eastAsia" w:ascii="黑体" w:hAnsi="黑体" w:eastAsia="黑体" w:cs="仿宋_GB2312"/>
                <w:bCs/>
                <w:color w:val="000000" w:themeColor="text1"/>
                <w:kern w:val="0"/>
                <w:sz w:val="24"/>
                <w:szCs w:val="24"/>
                <w:lang w:val="en-US" w:eastAsia="zh-CN"/>
                <w14:textFill>
                  <w14:solidFill>
                    <w14:schemeClr w14:val="tx1"/>
                  </w14:solidFill>
                </w14:textFill>
              </w:rPr>
              <w:t>经济类型</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黑体" w:eastAsia="黑体" w:cs="仿宋_GB2312"/>
                <w:bCs/>
                <w:color w:val="000000" w:themeColor="text1"/>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品种类别</w:t>
            </w:r>
          </w:p>
        </w:tc>
        <w:tc>
          <w:tcPr>
            <w:tcW w:w="2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黑体" w:eastAsia="黑体" w:cs="仿宋_GB2312"/>
                <w:bCs/>
                <w:color w:val="000000" w:themeColor="text1"/>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生产/经营品种、产量</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黑体" w:eastAsia="黑体" w:cs="仿宋_GB2312"/>
                <w:bCs/>
                <w:color w:val="000000" w:themeColor="text1"/>
                <w:kern w:val="0"/>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主要流向</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黑体" w:eastAsia="黑体" w:cs="仿宋_GB2312"/>
                <w:bCs/>
                <w:color w:val="000000" w:themeColor="text1"/>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发证日期</w:t>
            </w: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黑体" w:eastAsia="黑体" w:cs="仿宋_GB2312"/>
                <w:bCs/>
                <w:color w:val="000000" w:themeColor="text1"/>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有效期限</w:t>
            </w:r>
          </w:p>
        </w:tc>
        <w:tc>
          <w:tcPr>
            <w:tcW w:w="9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黑体" w:eastAsia="黑体" w:cs="仿宋_GB2312"/>
                <w:bCs/>
                <w:color w:val="000000" w:themeColor="text1"/>
                <w:sz w:val="24"/>
                <w:szCs w:val="24"/>
                <w14:textFill>
                  <w14:solidFill>
                    <w14:schemeClr w14:val="tx1"/>
                  </w14:solidFill>
                </w14:textFill>
              </w:rPr>
            </w:pPr>
            <w:r>
              <w:rPr>
                <w:rFonts w:hint="eastAsia" w:ascii="黑体" w:hAnsi="黑体" w:eastAsia="黑体" w:cs="仿宋_GB2312"/>
                <w:bCs/>
                <w:color w:val="000000" w:themeColor="text1"/>
                <w:kern w:val="0"/>
                <w:sz w:val="24"/>
                <w:szCs w:val="24"/>
                <w14:textFill>
                  <w14:solidFill>
                    <w14:schemeClr w14:val="tx1"/>
                  </w14:solidFill>
                </w14:textFill>
              </w:rPr>
              <w:t>备注</w:t>
            </w:r>
          </w:p>
        </w:tc>
      </w:tr>
      <w:tr>
        <w:tblPrEx>
          <w:tblCellMar>
            <w:top w:w="15" w:type="dxa"/>
            <w:left w:w="15" w:type="dxa"/>
            <w:bottom w:w="15" w:type="dxa"/>
            <w:right w:w="15" w:type="dxa"/>
          </w:tblCellMar>
        </w:tblPrEx>
        <w:trPr>
          <w:trHeight w:val="103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1</w:t>
            </w:r>
          </w:p>
        </w:tc>
        <w:tc>
          <w:tcPr>
            <w:tcW w:w="17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5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2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9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9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trHeight w:val="1215"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2</w:t>
            </w:r>
          </w:p>
        </w:tc>
        <w:tc>
          <w:tcPr>
            <w:tcW w:w="17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5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2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9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9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r>
      <w:tr>
        <w:tblPrEx>
          <w:tblCellMar>
            <w:top w:w="15" w:type="dxa"/>
            <w:left w:w="15" w:type="dxa"/>
            <w:bottom w:w="15" w:type="dxa"/>
            <w:right w:w="15" w:type="dxa"/>
          </w:tblCellMar>
        </w:tblPrEx>
        <w:trPr>
          <w:trHeight w:val="90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kern w:val="0"/>
                <w:szCs w:val="21"/>
                <w14:textFill>
                  <w14:solidFill>
                    <w14:schemeClr w14:val="tx1"/>
                  </w14:solidFill>
                </w14:textFill>
              </w:rPr>
              <w:t>3</w:t>
            </w:r>
          </w:p>
        </w:tc>
        <w:tc>
          <w:tcPr>
            <w:tcW w:w="17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5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2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29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1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c>
          <w:tcPr>
            <w:tcW w:w="9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eastAsia="仿宋_GB2312" w:cs="仿宋_GB2312"/>
                <w:bCs/>
                <w:color w:val="000000" w:themeColor="text1"/>
                <w:szCs w:val="21"/>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5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制表人：                       分管负责人：                       制表日期：</w:t>
      </w:r>
    </w:p>
    <w:p>
      <w:pPr>
        <w:keepNext w:val="0"/>
        <w:keepLines w:val="0"/>
        <w:pageBreakBefore w:val="0"/>
        <w:kinsoku/>
        <w:wordWrap/>
        <w:overflowPunct/>
        <w:topLinePunct w:val="0"/>
        <w:autoSpaceDE/>
        <w:autoSpaceDN/>
        <w:bidi w:val="0"/>
        <w:adjustRightInd/>
        <w:snapToGrid/>
        <w:spacing w:line="560" w:lineRule="exact"/>
        <w:ind w:firstLine="560" w:firstLineChars="200"/>
        <w:rPr>
          <w:rFonts w:hint="eastAsia" w:ascii="仿宋_GB2312" w:eastAsia="仿宋_GB2312"/>
          <w:color w:val="000000" w:themeColor="text1"/>
          <w:sz w:val="28"/>
          <w:szCs w:val="28"/>
          <w14:textFill>
            <w14:solidFill>
              <w14:schemeClr w14:val="tx1"/>
            </w14:solidFill>
          </w14:textFill>
        </w:rPr>
        <w:sectPr>
          <w:pgSz w:w="16838" w:h="11906" w:orient="landscape"/>
          <w:pgMar w:top="1797" w:right="1440" w:bottom="1797" w:left="1440" w:header="851" w:footer="992" w:gutter="0"/>
          <w:pgNumType w:fmt="numberInDash"/>
          <w:cols w:space="425" w:num="1"/>
          <w:docGrid w:type="linesAndChars" w:linePitch="312" w:charSpace="0"/>
        </w:sectPr>
      </w:pPr>
      <w:r>
        <w:rPr>
          <w:rFonts w:hint="eastAsia" w:ascii="仿宋_GB2312" w:eastAsia="仿宋_GB2312"/>
          <w:color w:val="000000" w:themeColor="text1"/>
          <w:sz w:val="28"/>
          <w:szCs w:val="28"/>
          <w14:textFill>
            <w14:solidFill>
              <w14:schemeClr w14:val="tx1"/>
            </w14:solidFill>
          </w14:textFill>
        </w:rPr>
        <w:t>备注栏填写：生产/经营新办、延期、变更、注销。</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sectPr>
          <w:footerReference r:id="rId4" w:type="default"/>
          <w:pgSz w:w="11906" w:h="16838"/>
          <w:pgMar w:top="1440" w:right="1797" w:bottom="1440" w:left="1797" w:header="851" w:footer="992" w:gutter="0"/>
          <w:pgNumType w:fmt="numberInDash"/>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pBdr>
          <w:top w:val="single" w:color="auto" w:sz="4" w:space="1"/>
          <w:left w:val="none" w:color="auto" w:sz="0" w:space="4"/>
          <w:bottom w:val="single" w:color="auto" w:sz="4" w:space="1"/>
          <w:right w:val="none" w:color="auto" w:sz="0" w:space="4"/>
        </w:pBdr>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eastAsia="仿宋_GB2312"/>
          <w:color w:val="000000" w:themeColor="text1"/>
          <w:sz w:val="28"/>
          <w:szCs w:val="28"/>
          <w14:textFill>
            <w14:solidFill>
              <w14:schemeClr w14:val="tx1"/>
            </w14:solidFill>
          </w14:textFill>
        </w:rPr>
      </w:pP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淄博市</w:t>
      </w:r>
      <w:r>
        <w:rPr>
          <w:rFonts w:hint="eastAsia" w:ascii="仿宋_GB2312" w:hAnsi="仿宋_GB2312" w:eastAsia="仿宋_GB2312" w:cs="仿宋_GB2312"/>
          <w:kern w:val="0"/>
          <w:sz w:val="28"/>
          <w:szCs w:val="28"/>
          <w:lang w:val="en-US" w:eastAsia="zh-CN"/>
        </w:rPr>
        <w:t>应急</w:t>
      </w:r>
      <w:r>
        <w:rPr>
          <w:rFonts w:hint="eastAsia" w:ascii="仿宋_GB2312" w:hAnsi="仿宋_GB2312" w:eastAsia="仿宋_GB2312" w:cs="仿宋_GB2312"/>
          <w:kern w:val="0"/>
          <w:sz w:val="28"/>
          <w:szCs w:val="28"/>
        </w:rPr>
        <w:t>管理局</w:t>
      </w:r>
      <w:r>
        <w:rPr>
          <w:rFonts w:hint="eastAsia" w:ascii="仿宋_GB2312" w:hAnsi="仿宋_GB2312" w:eastAsia="仿宋_GB2312" w:cs="仿宋_GB2312"/>
          <w:kern w:val="0"/>
          <w:sz w:val="28"/>
          <w:szCs w:val="28"/>
          <w:lang w:eastAsia="zh-CN"/>
        </w:rPr>
        <w:t>办公室</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2020</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7</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21</w:t>
      </w:r>
      <w:r>
        <w:rPr>
          <w:rFonts w:hint="eastAsia" w:ascii="仿宋_GB2312" w:hAnsi="仿宋_GB2312" w:eastAsia="仿宋_GB2312" w:cs="仿宋_GB2312"/>
          <w:kern w:val="0"/>
          <w:sz w:val="28"/>
          <w:szCs w:val="28"/>
        </w:rPr>
        <w:t>日</w:t>
      </w:r>
    </w:p>
    <w:sectPr>
      <w:footerReference r:id="rId5" w:type="default"/>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长城小标宋体">
    <w:altName w:val="宋体"/>
    <w:panose1 w:val="02010609010101010101"/>
    <w:charset w:val="86"/>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- 11 -</w:t>
                    </w:r>
                    <w:r>
                      <w:rPr>
                        <w:rFonts w:hint="default" w:ascii="Times New Roman" w:hAnsi="Times New Roman" w:cs="Times New Roman"/>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5F"/>
    <w:rsid w:val="00003DC2"/>
    <w:rsid w:val="00004BB8"/>
    <w:rsid w:val="000066EB"/>
    <w:rsid w:val="00031CB2"/>
    <w:rsid w:val="000A2FA8"/>
    <w:rsid w:val="00197D3D"/>
    <w:rsid w:val="001C2A6E"/>
    <w:rsid w:val="001F79CF"/>
    <w:rsid w:val="002B517F"/>
    <w:rsid w:val="00323CAC"/>
    <w:rsid w:val="00383602"/>
    <w:rsid w:val="003C6430"/>
    <w:rsid w:val="003D12B9"/>
    <w:rsid w:val="00413769"/>
    <w:rsid w:val="00436EDA"/>
    <w:rsid w:val="0046365F"/>
    <w:rsid w:val="004B3DE0"/>
    <w:rsid w:val="004B577B"/>
    <w:rsid w:val="004E2EC8"/>
    <w:rsid w:val="0051649B"/>
    <w:rsid w:val="00531B9C"/>
    <w:rsid w:val="00547709"/>
    <w:rsid w:val="005A2D39"/>
    <w:rsid w:val="00671E1D"/>
    <w:rsid w:val="0068695D"/>
    <w:rsid w:val="006C0033"/>
    <w:rsid w:val="006D760B"/>
    <w:rsid w:val="007A3A83"/>
    <w:rsid w:val="007A75DB"/>
    <w:rsid w:val="007F327C"/>
    <w:rsid w:val="00830E08"/>
    <w:rsid w:val="0085478E"/>
    <w:rsid w:val="00865233"/>
    <w:rsid w:val="008C340E"/>
    <w:rsid w:val="008E7F6D"/>
    <w:rsid w:val="00937DE7"/>
    <w:rsid w:val="00951A74"/>
    <w:rsid w:val="0096571C"/>
    <w:rsid w:val="009A39DB"/>
    <w:rsid w:val="009B54C4"/>
    <w:rsid w:val="00A413DF"/>
    <w:rsid w:val="00A61A5F"/>
    <w:rsid w:val="00A67C05"/>
    <w:rsid w:val="00AA0DC5"/>
    <w:rsid w:val="00B407E3"/>
    <w:rsid w:val="00B50940"/>
    <w:rsid w:val="00BD0C96"/>
    <w:rsid w:val="00BE628F"/>
    <w:rsid w:val="00BE6454"/>
    <w:rsid w:val="00CF70BA"/>
    <w:rsid w:val="00DA7925"/>
    <w:rsid w:val="00EA422E"/>
    <w:rsid w:val="00EB39F3"/>
    <w:rsid w:val="00F96C2C"/>
    <w:rsid w:val="01A6171D"/>
    <w:rsid w:val="0AA47E5F"/>
    <w:rsid w:val="0C66267C"/>
    <w:rsid w:val="0D3F126E"/>
    <w:rsid w:val="0F2A4D80"/>
    <w:rsid w:val="109120D9"/>
    <w:rsid w:val="139424F5"/>
    <w:rsid w:val="17F842DB"/>
    <w:rsid w:val="1EE90FF2"/>
    <w:rsid w:val="245702F6"/>
    <w:rsid w:val="2803516C"/>
    <w:rsid w:val="28641202"/>
    <w:rsid w:val="2BAD290E"/>
    <w:rsid w:val="343B1461"/>
    <w:rsid w:val="357B0E8F"/>
    <w:rsid w:val="3C4E4898"/>
    <w:rsid w:val="3C5B4F21"/>
    <w:rsid w:val="3E7B37E1"/>
    <w:rsid w:val="411D3289"/>
    <w:rsid w:val="428A506C"/>
    <w:rsid w:val="45E3407C"/>
    <w:rsid w:val="46044A40"/>
    <w:rsid w:val="47E11888"/>
    <w:rsid w:val="495552AC"/>
    <w:rsid w:val="4CEB53F3"/>
    <w:rsid w:val="50C937BC"/>
    <w:rsid w:val="50DE5775"/>
    <w:rsid w:val="5AF81ABE"/>
    <w:rsid w:val="61B54757"/>
    <w:rsid w:val="67E52A7F"/>
    <w:rsid w:val="68553EDC"/>
    <w:rsid w:val="70E540FE"/>
    <w:rsid w:val="79DA1833"/>
    <w:rsid w:val="7C7F1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2919</Characters>
  <Lines>24</Lines>
  <Paragraphs>6</Paragraphs>
  <TotalTime>4</TotalTime>
  <ScaleCrop>false</ScaleCrop>
  <LinksUpToDate>false</LinksUpToDate>
  <CharactersWithSpaces>3425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2020-07-20T08:00:00Z</dcterms:created>
  <dc:creator>若华 梅</dc:creator>
  <cp:lastModifiedBy>Administrator</cp:lastModifiedBy>
  <cp:lastPrinted>2020-07-21T02:57:00Z</cp:lastPrinted>
  <dcterms:modified xsi:type="dcterms:W3CDTF">2020-11-30T07:21:01Z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